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93312A">
      <w:pPr>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93312A">
      <w:pPr>
        <w:ind w:right="-95"/>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Default="0093312A" w:rsidP="0093312A">
      <w:pPr>
        <w:ind w:right="-1"/>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054A22" w:rsidRPr="004A5340" w:rsidRDefault="00054A22" w:rsidP="0093312A">
      <w:pPr>
        <w:ind w:right="-1"/>
        <w:jc w:val="center"/>
        <w:rPr>
          <w:b/>
          <w:sz w:val="26"/>
          <w:szCs w:val="26"/>
        </w:rPr>
      </w:pPr>
      <w:r>
        <w:rPr>
          <w:b/>
          <w:sz w:val="26"/>
          <w:szCs w:val="26"/>
        </w:rPr>
        <w:t>март 2025 года</w:t>
      </w:r>
    </w:p>
    <w:p w:rsidR="0093312A" w:rsidRPr="004A5340" w:rsidRDefault="0093312A" w:rsidP="0093312A">
      <w:pPr>
        <w:ind w:right="-1" w:firstLine="709"/>
        <w:jc w:val="both"/>
        <w:rPr>
          <w:sz w:val="26"/>
          <w:szCs w:val="26"/>
        </w:rPr>
      </w:pPr>
      <w:r w:rsidRPr="004A5340">
        <w:rPr>
          <w:sz w:val="26"/>
          <w:szCs w:val="26"/>
        </w:rPr>
        <w:t>Проект решения предусматривает внесение изменений в решение Собрания депутатов Котласского муниципального округа Арханг</w:t>
      </w:r>
      <w:r w:rsidR="001172DD">
        <w:rPr>
          <w:sz w:val="26"/>
          <w:szCs w:val="26"/>
        </w:rPr>
        <w:t>ельской области от 20.12.2024 №</w:t>
      </w:r>
      <w:r w:rsidRPr="004A5340">
        <w:rPr>
          <w:sz w:val="26"/>
          <w:szCs w:val="26"/>
        </w:rPr>
        <w:t>318 «О бюджете Котласского муниципального округа Архангельской области на 2025 год и на плановый пе</w:t>
      </w:r>
      <w:r w:rsidR="007F2FD6">
        <w:rPr>
          <w:sz w:val="26"/>
          <w:szCs w:val="26"/>
        </w:rPr>
        <w:t>риод 2026 и 2027 годов» в связи</w:t>
      </w:r>
      <w:r w:rsidRPr="004A5340">
        <w:rPr>
          <w:sz w:val="26"/>
          <w:szCs w:val="26"/>
        </w:rPr>
        <w:t xml:space="preserve">: </w:t>
      </w:r>
    </w:p>
    <w:p w:rsidR="0093312A" w:rsidRDefault="0093312A" w:rsidP="0093312A">
      <w:pPr>
        <w:ind w:firstLine="700"/>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изменением доходной и расходной части бюджета за счет межбюджетных трансфертов из других бюджетов;</w:t>
      </w:r>
    </w:p>
    <w:p w:rsidR="00104F33" w:rsidRPr="004A5340" w:rsidRDefault="00104F33" w:rsidP="0093312A">
      <w:pPr>
        <w:ind w:firstLine="700"/>
        <w:jc w:val="both"/>
        <w:rPr>
          <w:sz w:val="26"/>
          <w:szCs w:val="26"/>
        </w:rPr>
      </w:pPr>
      <w:r w:rsidRPr="007F2FD6">
        <w:rPr>
          <w:sz w:val="26"/>
          <w:szCs w:val="26"/>
        </w:rPr>
        <w:t xml:space="preserve">– </w:t>
      </w:r>
      <w:r w:rsidR="007F2FD6" w:rsidRPr="007F2FD6">
        <w:rPr>
          <w:sz w:val="26"/>
          <w:szCs w:val="26"/>
        </w:rPr>
        <w:t>с увеличение доходной и расходной части бюджета за счет поступления дополнительных неналоговых доходов</w:t>
      </w:r>
    </w:p>
    <w:p w:rsidR="0093312A" w:rsidRDefault="0093312A" w:rsidP="0093312A">
      <w:pPr>
        <w:ind w:firstLine="697"/>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изменениями, вносимыми в расходную часть бюджета, в связи с перераспределением средств по направлениям использования и ведомствам;</w:t>
      </w:r>
    </w:p>
    <w:p w:rsidR="0093312A" w:rsidRDefault="0015321F" w:rsidP="00054A22">
      <w:pPr>
        <w:ind w:firstLine="697"/>
        <w:jc w:val="both"/>
        <w:rPr>
          <w:sz w:val="26"/>
          <w:szCs w:val="26"/>
        </w:rPr>
      </w:pPr>
      <w:r>
        <w:rPr>
          <w:sz w:val="26"/>
          <w:szCs w:val="26"/>
        </w:rPr>
        <w:t xml:space="preserve">– </w:t>
      </w:r>
      <w:r w:rsidR="007F2FD6">
        <w:rPr>
          <w:sz w:val="26"/>
          <w:szCs w:val="26"/>
        </w:rPr>
        <w:t xml:space="preserve">с </w:t>
      </w:r>
      <w:r>
        <w:rPr>
          <w:sz w:val="26"/>
          <w:szCs w:val="26"/>
        </w:rPr>
        <w:t>уточнени</w:t>
      </w:r>
      <w:r w:rsidR="00054A22">
        <w:rPr>
          <w:sz w:val="26"/>
          <w:szCs w:val="26"/>
        </w:rPr>
        <w:t>е кодов бюджетной классификации.</w:t>
      </w:r>
    </w:p>
    <w:p w:rsidR="00054A22" w:rsidRPr="004A5340" w:rsidRDefault="00054A22" w:rsidP="00054A22">
      <w:pPr>
        <w:ind w:firstLine="697"/>
        <w:jc w:val="both"/>
        <w:rPr>
          <w:sz w:val="26"/>
          <w:szCs w:val="26"/>
        </w:rPr>
      </w:pPr>
    </w:p>
    <w:p w:rsidR="0093312A" w:rsidRDefault="0093312A" w:rsidP="0093312A">
      <w:pPr>
        <w:ind w:left="142"/>
        <w:jc w:val="center"/>
        <w:rPr>
          <w:b/>
          <w:sz w:val="26"/>
          <w:szCs w:val="26"/>
        </w:rPr>
      </w:pPr>
      <w:r w:rsidRPr="004A5340">
        <w:rPr>
          <w:b/>
          <w:sz w:val="26"/>
          <w:szCs w:val="26"/>
        </w:rPr>
        <w:t>В части доходов предлагается</w:t>
      </w:r>
    </w:p>
    <w:p w:rsidR="00BD517D" w:rsidRPr="004A5340" w:rsidRDefault="00BD517D" w:rsidP="0093312A">
      <w:pPr>
        <w:ind w:left="142"/>
        <w:jc w:val="center"/>
        <w:rPr>
          <w:b/>
          <w:sz w:val="26"/>
          <w:szCs w:val="26"/>
        </w:rPr>
      </w:pPr>
    </w:p>
    <w:p w:rsidR="00AF2180" w:rsidRDefault="00AF2180" w:rsidP="00BD517D">
      <w:pPr>
        <w:ind w:firstLine="709"/>
        <w:jc w:val="both"/>
        <w:rPr>
          <w:b/>
        </w:rPr>
      </w:pPr>
      <w:r>
        <w:rPr>
          <w:b/>
        </w:rPr>
        <w:t>1</w:t>
      </w:r>
      <w:r w:rsidR="00BD517D">
        <w:rPr>
          <w:b/>
        </w:rPr>
        <w:t xml:space="preserve">) </w:t>
      </w:r>
      <w:r w:rsidRPr="00BD517D">
        <w:rPr>
          <w:b/>
          <w:sz w:val="26"/>
          <w:szCs w:val="26"/>
        </w:rPr>
        <w:t>Изменения  прогнозируемого поступления доходов в части налоговых и неналоговых доходов</w:t>
      </w:r>
      <w:r w:rsidR="00BA5171">
        <w:rPr>
          <w:b/>
          <w:sz w:val="26"/>
          <w:szCs w:val="26"/>
        </w:rPr>
        <w:t xml:space="preserve"> </w:t>
      </w:r>
      <w:r w:rsidR="00BA5171" w:rsidRPr="004A5340">
        <w:rPr>
          <w:b/>
          <w:sz w:val="26"/>
          <w:szCs w:val="26"/>
        </w:rPr>
        <w:t>на 2025 год</w:t>
      </w:r>
      <w:r w:rsidRPr="00BD517D">
        <w:rPr>
          <w:b/>
          <w:sz w:val="26"/>
          <w:szCs w:val="26"/>
        </w:rPr>
        <w:t>:</w:t>
      </w:r>
      <w:r w:rsidRPr="00F350D6">
        <w:rPr>
          <w:b/>
        </w:rPr>
        <w:t xml:space="preserve">                   </w:t>
      </w:r>
    </w:p>
    <w:tbl>
      <w:tblPr>
        <w:tblpPr w:leftFromText="180" w:rightFromText="180" w:vertAnchor="text" w:horzAnchor="margin" w:tblpXSpec="center" w:tblpY="170"/>
        <w:tblW w:w="10173" w:type="dxa"/>
        <w:tblLayout w:type="fixed"/>
        <w:tblLook w:val="0000"/>
      </w:tblPr>
      <w:tblGrid>
        <w:gridCol w:w="534"/>
        <w:gridCol w:w="2409"/>
        <w:gridCol w:w="1134"/>
        <w:gridCol w:w="1134"/>
        <w:gridCol w:w="1418"/>
        <w:gridCol w:w="1134"/>
        <w:gridCol w:w="2410"/>
      </w:tblGrid>
      <w:tr w:rsidR="00AF2180" w:rsidRPr="00F350D6" w:rsidTr="004A59D1">
        <w:trPr>
          <w:trHeight w:val="264"/>
        </w:trPr>
        <w:tc>
          <w:tcPr>
            <w:tcW w:w="534" w:type="dxa"/>
            <w:vMerge w:val="restart"/>
            <w:tcBorders>
              <w:top w:val="single" w:sz="4" w:space="0" w:color="auto"/>
              <w:left w:val="single" w:sz="4" w:space="0" w:color="auto"/>
              <w:right w:val="single" w:sz="4" w:space="0" w:color="auto"/>
            </w:tcBorders>
            <w:shd w:val="clear" w:color="auto" w:fill="auto"/>
            <w:vAlign w:val="center"/>
          </w:tcPr>
          <w:p w:rsidR="00AF2180" w:rsidRPr="00F350D6" w:rsidRDefault="00AF2180" w:rsidP="00BD517D">
            <w:pPr>
              <w:jc w:val="center"/>
              <w:rPr>
                <w:sz w:val="16"/>
                <w:szCs w:val="16"/>
              </w:rPr>
            </w:pPr>
            <w:r w:rsidRPr="00F350D6">
              <w:rPr>
                <w:sz w:val="16"/>
                <w:szCs w:val="16"/>
              </w:rPr>
              <w:t xml:space="preserve">№ </w:t>
            </w:r>
            <w:proofErr w:type="spellStart"/>
            <w:proofErr w:type="gramStart"/>
            <w:r w:rsidRPr="00F350D6">
              <w:rPr>
                <w:sz w:val="16"/>
                <w:szCs w:val="16"/>
              </w:rPr>
              <w:t>п</w:t>
            </w:r>
            <w:proofErr w:type="spellEnd"/>
            <w:proofErr w:type="gramEnd"/>
            <w:r w:rsidRPr="00F350D6">
              <w:rPr>
                <w:sz w:val="16"/>
                <w:szCs w:val="16"/>
              </w:rPr>
              <w:t>/</w:t>
            </w:r>
            <w:proofErr w:type="spellStart"/>
            <w:r w:rsidRPr="00F350D6">
              <w:rPr>
                <w:sz w:val="16"/>
                <w:szCs w:val="16"/>
              </w:rPr>
              <w:t>п</w:t>
            </w:r>
            <w:proofErr w:type="spellEnd"/>
          </w:p>
        </w:tc>
        <w:tc>
          <w:tcPr>
            <w:tcW w:w="2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F2180" w:rsidRPr="00F350D6" w:rsidRDefault="00AF2180" w:rsidP="00BD517D">
            <w:pPr>
              <w:jc w:val="center"/>
              <w:rPr>
                <w:sz w:val="18"/>
                <w:szCs w:val="18"/>
              </w:rPr>
            </w:pPr>
            <w:r w:rsidRPr="00F350D6">
              <w:rPr>
                <w:sz w:val="18"/>
                <w:szCs w:val="18"/>
              </w:rPr>
              <w:t>Наименование показателя</w:t>
            </w:r>
          </w:p>
        </w:tc>
        <w:tc>
          <w:tcPr>
            <w:tcW w:w="7230" w:type="dxa"/>
            <w:gridSpan w:val="5"/>
            <w:tcBorders>
              <w:top w:val="single" w:sz="8" w:space="0" w:color="auto"/>
              <w:bottom w:val="single" w:sz="8" w:space="0" w:color="auto"/>
              <w:right w:val="single" w:sz="8" w:space="0" w:color="auto"/>
            </w:tcBorders>
            <w:shd w:val="clear" w:color="auto" w:fill="auto"/>
          </w:tcPr>
          <w:p w:rsidR="00AF2180" w:rsidRPr="00F350D6" w:rsidRDefault="00AF2180" w:rsidP="00BD517D">
            <w:pPr>
              <w:jc w:val="center"/>
              <w:rPr>
                <w:b/>
                <w:sz w:val="18"/>
                <w:szCs w:val="18"/>
              </w:rPr>
            </w:pPr>
            <w:r>
              <w:rPr>
                <w:b/>
                <w:sz w:val="18"/>
                <w:szCs w:val="18"/>
              </w:rPr>
              <w:t>Котласский муниципальный округ</w:t>
            </w:r>
          </w:p>
        </w:tc>
      </w:tr>
      <w:tr w:rsidR="00AF2180" w:rsidRPr="00F350D6" w:rsidTr="004A59D1">
        <w:trPr>
          <w:trHeight w:val="836"/>
        </w:trPr>
        <w:tc>
          <w:tcPr>
            <w:tcW w:w="534" w:type="dxa"/>
            <w:vMerge/>
            <w:tcBorders>
              <w:left w:val="single" w:sz="4" w:space="0" w:color="auto"/>
              <w:bottom w:val="single" w:sz="4" w:space="0" w:color="000000"/>
              <w:right w:val="single" w:sz="4" w:space="0" w:color="auto"/>
            </w:tcBorders>
            <w:vAlign w:val="center"/>
          </w:tcPr>
          <w:p w:rsidR="00AF2180" w:rsidRPr="00F350D6" w:rsidRDefault="00AF2180" w:rsidP="00BD517D">
            <w:pPr>
              <w:rPr>
                <w:sz w:val="20"/>
                <w:szCs w:val="20"/>
              </w:rPr>
            </w:pPr>
          </w:p>
        </w:tc>
        <w:tc>
          <w:tcPr>
            <w:tcW w:w="2409" w:type="dxa"/>
            <w:vMerge/>
            <w:tcBorders>
              <w:top w:val="single" w:sz="4" w:space="0" w:color="auto"/>
              <w:left w:val="single" w:sz="4" w:space="0" w:color="auto"/>
              <w:bottom w:val="single" w:sz="4" w:space="0" w:color="000000"/>
              <w:right w:val="single" w:sz="4" w:space="0" w:color="auto"/>
            </w:tcBorders>
            <w:vAlign w:val="center"/>
          </w:tcPr>
          <w:p w:rsidR="00AF2180" w:rsidRPr="00F350D6" w:rsidRDefault="00AF2180" w:rsidP="00BD517D">
            <w:pPr>
              <w:rPr>
                <w:sz w:val="18"/>
                <w:szCs w:val="18"/>
              </w:rPr>
            </w:pPr>
          </w:p>
        </w:tc>
        <w:tc>
          <w:tcPr>
            <w:tcW w:w="1134" w:type="dxa"/>
            <w:tcBorders>
              <w:top w:val="nil"/>
              <w:left w:val="nil"/>
              <w:bottom w:val="single" w:sz="4" w:space="0" w:color="auto"/>
              <w:right w:val="single" w:sz="4" w:space="0" w:color="auto"/>
            </w:tcBorders>
            <w:shd w:val="clear" w:color="auto" w:fill="FFFFFF"/>
            <w:vAlign w:val="center"/>
          </w:tcPr>
          <w:p w:rsidR="00AF2180" w:rsidRPr="00F350D6" w:rsidRDefault="00AF2180" w:rsidP="00BD517D">
            <w:pPr>
              <w:jc w:val="center"/>
              <w:rPr>
                <w:sz w:val="18"/>
                <w:szCs w:val="18"/>
              </w:rPr>
            </w:pPr>
            <w:r w:rsidRPr="00F350D6">
              <w:rPr>
                <w:sz w:val="18"/>
                <w:szCs w:val="18"/>
              </w:rPr>
              <w:t>План               на                 20</w:t>
            </w:r>
            <w:r>
              <w:rPr>
                <w:sz w:val="18"/>
                <w:szCs w:val="18"/>
              </w:rPr>
              <w:t xml:space="preserve">25 </w:t>
            </w:r>
            <w:r w:rsidRPr="00F350D6">
              <w:rPr>
                <w:sz w:val="18"/>
                <w:szCs w:val="18"/>
              </w:rPr>
              <w:t>год</w:t>
            </w:r>
            <w:proofErr w:type="gramStart"/>
            <w:r w:rsidRPr="00F350D6">
              <w:rPr>
                <w:sz w:val="18"/>
                <w:szCs w:val="18"/>
              </w:rPr>
              <w:t xml:space="preserve">., </w:t>
            </w:r>
            <w:proofErr w:type="gramEnd"/>
            <w:r w:rsidRPr="00F350D6">
              <w:rPr>
                <w:sz w:val="18"/>
                <w:szCs w:val="18"/>
              </w:rPr>
              <w:t>тыс. рублей</w:t>
            </w:r>
          </w:p>
        </w:tc>
        <w:tc>
          <w:tcPr>
            <w:tcW w:w="1134" w:type="dxa"/>
            <w:tcBorders>
              <w:top w:val="nil"/>
              <w:left w:val="nil"/>
              <w:bottom w:val="single" w:sz="4" w:space="0" w:color="auto"/>
              <w:right w:val="nil"/>
            </w:tcBorders>
            <w:shd w:val="clear" w:color="auto" w:fill="FFFFFF"/>
            <w:vAlign w:val="center"/>
          </w:tcPr>
          <w:p w:rsidR="00AF2180" w:rsidRPr="00F350D6" w:rsidRDefault="00AF2180" w:rsidP="00BD517D">
            <w:pPr>
              <w:jc w:val="center"/>
              <w:rPr>
                <w:sz w:val="18"/>
                <w:szCs w:val="18"/>
              </w:rPr>
            </w:pPr>
            <w:r w:rsidRPr="00F350D6">
              <w:rPr>
                <w:sz w:val="18"/>
                <w:szCs w:val="18"/>
              </w:rPr>
              <w:t xml:space="preserve">Исполнено на </w:t>
            </w:r>
            <w:r>
              <w:rPr>
                <w:sz w:val="18"/>
                <w:szCs w:val="18"/>
              </w:rPr>
              <w:t>18</w:t>
            </w:r>
            <w:r w:rsidRPr="00F350D6">
              <w:rPr>
                <w:sz w:val="18"/>
                <w:szCs w:val="18"/>
              </w:rPr>
              <w:t>.</w:t>
            </w:r>
            <w:r>
              <w:rPr>
                <w:sz w:val="18"/>
                <w:szCs w:val="18"/>
              </w:rPr>
              <w:t>03.25</w:t>
            </w:r>
            <w:r w:rsidRPr="00F350D6">
              <w:rPr>
                <w:sz w:val="18"/>
                <w:szCs w:val="18"/>
              </w:rPr>
              <w:t>г.,  тыс. рублей</w:t>
            </w:r>
          </w:p>
        </w:tc>
        <w:tc>
          <w:tcPr>
            <w:tcW w:w="1418" w:type="dxa"/>
            <w:tcBorders>
              <w:top w:val="nil"/>
              <w:left w:val="single" w:sz="4" w:space="0" w:color="auto"/>
              <w:bottom w:val="single" w:sz="4" w:space="0" w:color="auto"/>
              <w:right w:val="single" w:sz="4" w:space="0" w:color="auto"/>
            </w:tcBorders>
            <w:shd w:val="clear" w:color="auto" w:fill="auto"/>
            <w:vAlign w:val="center"/>
          </w:tcPr>
          <w:p w:rsidR="00AF2180" w:rsidRPr="00F350D6" w:rsidRDefault="00AF2180" w:rsidP="00BD517D">
            <w:pPr>
              <w:jc w:val="center"/>
              <w:rPr>
                <w:sz w:val="18"/>
                <w:szCs w:val="18"/>
              </w:rPr>
            </w:pPr>
            <w:r w:rsidRPr="00F350D6">
              <w:rPr>
                <w:sz w:val="18"/>
                <w:szCs w:val="18"/>
              </w:rPr>
              <w:t>Предлагаемые изменения в бюджет 20</w:t>
            </w:r>
            <w:r>
              <w:rPr>
                <w:sz w:val="18"/>
                <w:szCs w:val="18"/>
              </w:rPr>
              <w:t>25</w:t>
            </w:r>
            <w:r w:rsidRPr="00F350D6">
              <w:rPr>
                <w:sz w:val="18"/>
                <w:szCs w:val="18"/>
              </w:rPr>
              <w:t>года,                     тыс. рублей</w:t>
            </w:r>
          </w:p>
        </w:tc>
        <w:tc>
          <w:tcPr>
            <w:tcW w:w="1134" w:type="dxa"/>
            <w:tcBorders>
              <w:top w:val="nil"/>
              <w:left w:val="nil"/>
              <w:bottom w:val="single" w:sz="4" w:space="0" w:color="auto"/>
              <w:right w:val="single" w:sz="4" w:space="0" w:color="auto"/>
            </w:tcBorders>
            <w:shd w:val="clear" w:color="auto" w:fill="auto"/>
            <w:vAlign w:val="center"/>
          </w:tcPr>
          <w:p w:rsidR="00AF2180" w:rsidRPr="00F350D6" w:rsidRDefault="00AF2180" w:rsidP="00BD517D">
            <w:pPr>
              <w:jc w:val="center"/>
              <w:rPr>
                <w:sz w:val="18"/>
                <w:szCs w:val="18"/>
              </w:rPr>
            </w:pPr>
            <w:r w:rsidRPr="00F350D6">
              <w:rPr>
                <w:sz w:val="18"/>
                <w:szCs w:val="18"/>
              </w:rPr>
              <w:t>План на 20</w:t>
            </w:r>
            <w:r>
              <w:rPr>
                <w:sz w:val="18"/>
                <w:szCs w:val="18"/>
              </w:rPr>
              <w:t>25</w:t>
            </w:r>
            <w:r w:rsidRPr="00F350D6">
              <w:rPr>
                <w:sz w:val="18"/>
                <w:szCs w:val="18"/>
              </w:rPr>
              <w:t>год с учетом изменений, тыс. рублей</w:t>
            </w:r>
          </w:p>
        </w:tc>
        <w:tc>
          <w:tcPr>
            <w:tcW w:w="2410" w:type="dxa"/>
            <w:tcBorders>
              <w:top w:val="single" w:sz="8" w:space="0" w:color="auto"/>
              <w:bottom w:val="single" w:sz="8" w:space="0" w:color="auto"/>
              <w:right w:val="single" w:sz="8" w:space="0" w:color="auto"/>
            </w:tcBorders>
            <w:shd w:val="clear" w:color="auto" w:fill="auto"/>
            <w:vAlign w:val="center"/>
          </w:tcPr>
          <w:p w:rsidR="00AF2180" w:rsidRPr="00F350D6" w:rsidRDefault="00AF2180" w:rsidP="00BD517D">
            <w:pPr>
              <w:jc w:val="center"/>
              <w:rPr>
                <w:sz w:val="18"/>
                <w:szCs w:val="18"/>
              </w:rPr>
            </w:pPr>
            <w:r w:rsidRPr="00F350D6">
              <w:rPr>
                <w:sz w:val="18"/>
                <w:szCs w:val="18"/>
              </w:rPr>
              <w:t>Основание</w:t>
            </w:r>
          </w:p>
        </w:tc>
      </w:tr>
      <w:tr w:rsidR="00AF2180" w:rsidRPr="00F350D6" w:rsidTr="004A59D1">
        <w:trPr>
          <w:trHeight w:val="103"/>
        </w:trPr>
        <w:tc>
          <w:tcPr>
            <w:tcW w:w="534" w:type="dxa"/>
            <w:tcBorders>
              <w:top w:val="nil"/>
              <w:left w:val="single" w:sz="4" w:space="0" w:color="auto"/>
              <w:bottom w:val="single" w:sz="4" w:space="0" w:color="auto"/>
              <w:right w:val="single" w:sz="4" w:space="0" w:color="auto"/>
            </w:tcBorders>
            <w:shd w:val="clear" w:color="auto" w:fill="auto"/>
            <w:noWrap/>
            <w:vAlign w:val="center"/>
          </w:tcPr>
          <w:p w:rsidR="00AF2180" w:rsidRPr="00F350D6" w:rsidRDefault="00AF2180" w:rsidP="00BD517D">
            <w:pPr>
              <w:jc w:val="center"/>
              <w:rPr>
                <w:sz w:val="20"/>
                <w:szCs w:val="20"/>
              </w:rPr>
            </w:pPr>
            <w:r w:rsidRPr="00F350D6">
              <w:rPr>
                <w:sz w:val="20"/>
                <w:szCs w:val="20"/>
              </w:rPr>
              <w:t>1</w:t>
            </w:r>
          </w:p>
        </w:tc>
        <w:tc>
          <w:tcPr>
            <w:tcW w:w="2409" w:type="dxa"/>
            <w:tcBorders>
              <w:top w:val="nil"/>
              <w:left w:val="nil"/>
              <w:bottom w:val="single" w:sz="4" w:space="0" w:color="auto"/>
              <w:right w:val="single" w:sz="4" w:space="0" w:color="auto"/>
            </w:tcBorders>
            <w:shd w:val="clear" w:color="auto" w:fill="auto"/>
            <w:noWrap/>
            <w:vAlign w:val="bottom"/>
          </w:tcPr>
          <w:p w:rsidR="00AF2180" w:rsidRPr="00F350D6" w:rsidRDefault="00AF2180" w:rsidP="00BD517D">
            <w:pPr>
              <w:jc w:val="center"/>
              <w:rPr>
                <w:sz w:val="20"/>
                <w:szCs w:val="20"/>
              </w:rPr>
            </w:pPr>
            <w:r w:rsidRPr="00F350D6">
              <w:rPr>
                <w:sz w:val="20"/>
                <w:szCs w:val="20"/>
              </w:rPr>
              <w:t>2</w:t>
            </w:r>
          </w:p>
        </w:tc>
        <w:tc>
          <w:tcPr>
            <w:tcW w:w="1134" w:type="dxa"/>
            <w:tcBorders>
              <w:top w:val="nil"/>
              <w:left w:val="nil"/>
              <w:bottom w:val="single" w:sz="4" w:space="0" w:color="auto"/>
              <w:right w:val="single" w:sz="4" w:space="0" w:color="auto"/>
            </w:tcBorders>
            <w:shd w:val="clear" w:color="auto" w:fill="FFFFFF"/>
            <w:noWrap/>
            <w:vAlign w:val="bottom"/>
          </w:tcPr>
          <w:p w:rsidR="00AF2180" w:rsidRPr="00F350D6" w:rsidRDefault="00AF2180" w:rsidP="00BD517D">
            <w:pPr>
              <w:jc w:val="center"/>
              <w:rPr>
                <w:sz w:val="20"/>
                <w:szCs w:val="20"/>
              </w:rPr>
            </w:pPr>
            <w:r w:rsidRPr="00F350D6">
              <w:rPr>
                <w:sz w:val="20"/>
                <w:szCs w:val="20"/>
              </w:rPr>
              <w:t>3</w:t>
            </w:r>
          </w:p>
        </w:tc>
        <w:tc>
          <w:tcPr>
            <w:tcW w:w="1134" w:type="dxa"/>
            <w:tcBorders>
              <w:top w:val="nil"/>
              <w:left w:val="nil"/>
              <w:bottom w:val="single" w:sz="4" w:space="0" w:color="auto"/>
              <w:right w:val="nil"/>
            </w:tcBorders>
            <w:shd w:val="clear" w:color="auto" w:fill="FFFFFF"/>
            <w:noWrap/>
            <w:vAlign w:val="bottom"/>
          </w:tcPr>
          <w:p w:rsidR="00AF2180" w:rsidRPr="00F350D6" w:rsidRDefault="00AF2180" w:rsidP="00BD517D">
            <w:pPr>
              <w:jc w:val="center"/>
              <w:rPr>
                <w:sz w:val="20"/>
                <w:szCs w:val="20"/>
              </w:rPr>
            </w:pPr>
            <w:r w:rsidRPr="00F350D6">
              <w:rPr>
                <w:sz w:val="20"/>
                <w:szCs w:val="20"/>
              </w:rPr>
              <w:t>4</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AF2180" w:rsidRPr="00F350D6" w:rsidRDefault="00AF2180" w:rsidP="00BD517D">
            <w:pPr>
              <w:jc w:val="center"/>
              <w:rPr>
                <w:sz w:val="20"/>
                <w:szCs w:val="20"/>
              </w:rPr>
            </w:pPr>
            <w:r>
              <w:rPr>
                <w:sz w:val="20"/>
                <w:szCs w:val="20"/>
              </w:rPr>
              <w:t>5</w:t>
            </w:r>
          </w:p>
        </w:tc>
        <w:tc>
          <w:tcPr>
            <w:tcW w:w="1134" w:type="dxa"/>
            <w:tcBorders>
              <w:top w:val="nil"/>
              <w:left w:val="nil"/>
              <w:bottom w:val="single" w:sz="8" w:space="0" w:color="auto"/>
              <w:right w:val="single" w:sz="4" w:space="0" w:color="auto"/>
            </w:tcBorders>
            <w:shd w:val="clear" w:color="auto" w:fill="auto"/>
            <w:noWrap/>
            <w:vAlign w:val="bottom"/>
          </w:tcPr>
          <w:p w:rsidR="00AF2180" w:rsidRPr="00F350D6" w:rsidRDefault="00AF2180" w:rsidP="00BD517D">
            <w:pPr>
              <w:jc w:val="center"/>
              <w:rPr>
                <w:sz w:val="20"/>
                <w:szCs w:val="20"/>
              </w:rPr>
            </w:pPr>
            <w:r w:rsidRPr="00F350D6">
              <w:rPr>
                <w:sz w:val="20"/>
                <w:szCs w:val="20"/>
              </w:rPr>
              <w:t>6</w:t>
            </w:r>
          </w:p>
        </w:tc>
        <w:tc>
          <w:tcPr>
            <w:tcW w:w="2410" w:type="dxa"/>
            <w:tcBorders>
              <w:top w:val="single" w:sz="8" w:space="0" w:color="auto"/>
              <w:bottom w:val="single" w:sz="8" w:space="0" w:color="auto"/>
              <w:right w:val="single" w:sz="8" w:space="0" w:color="auto"/>
            </w:tcBorders>
            <w:shd w:val="clear" w:color="auto" w:fill="auto"/>
          </w:tcPr>
          <w:p w:rsidR="00AF2180" w:rsidRPr="00F350D6" w:rsidRDefault="00AF2180" w:rsidP="00BD517D">
            <w:pPr>
              <w:jc w:val="center"/>
              <w:rPr>
                <w:sz w:val="20"/>
                <w:szCs w:val="20"/>
              </w:rPr>
            </w:pPr>
            <w:r w:rsidRPr="00F350D6">
              <w:rPr>
                <w:sz w:val="20"/>
                <w:szCs w:val="20"/>
              </w:rPr>
              <w:t>7</w:t>
            </w:r>
          </w:p>
        </w:tc>
      </w:tr>
      <w:tr w:rsidR="00AF2180" w:rsidRPr="00F350D6" w:rsidTr="004A59D1">
        <w:trPr>
          <w:trHeight w:val="409"/>
        </w:trPr>
        <w:tc>
          <w:tcPr>
            <w:tcW w:w="534" w:type="dxa"/>
            <w:tcBorders>
              <w:top w:val="nil"/>
              <w:left w:val="single" w:sz="4" w:space="0" w:color="auto"/>
              <w:bottom w:val="single" w:sz="4" w:space="0" w:color="auto"/>
              <w:right w:val="single" w:sz="4" w:space="0" w:color="auto"/>
            </w:tcBorders>
            <w:shd w:val="clear" w:color="auto" w:fill="auto"/>
            <w:noWrap/>
            <w:vAlign w:val="center"/>
          </w:tcPr>
          <w:p w:rsidR="00AF2180" w:rsidRDefault="00AF2180" w:rsidP="00BD517D">
            <w:pPr>
              <w:jc w:val="center"/>
              <w:rPr>
                <w:sz w:val="20"/>
                <w:szCs w:val="20"/>
              </w:rPr>
            </w:pPr>
            <w:r>
              <w:rPr>
                <w:sz w:val="20"/>
                <w:szCs w:val="20"/>
              </w:rPr>
              <w:t>1.</w:t>
            </w:r>
          </w:p>
        </w:tc>
        <w:tc>
          <w:tcPr>
            <w:tcW w:w="2409" w:type="dxa"/>
            <w:tcBorders>
              <w:top w:val="nil"/>
              <w:left w:val="nil"/>
              <w:bottom w:val="single" w:sz="4" w:space="0" w:color="auto"/>
              <w:right w:val="single" w:sz="4" w:space="0" w:color="auto"/>
            </w:tcBorders>
            <w:shd w:val="clear" w:color="auto" w:fill="auto"/>
            <w:vAlign w:val="center"/>
          </w:tcPr>
          <w:p w:rsidR="00AF2180" w:rsidRPr="00DE617C" w:rsidRDefault="00AF2180" w:rsidP="00BD517D">
            <w:pPr>
              <w:outlineLvl w:val="1"/>
              <w:rPr>
                <w:sz w:val="18"/>
                <w:szCs w:val="18"/>
              </w:rPr>
            </w:pPr>
            <w:r w:rsidRPr="004D2409">
              <w:rPr>
                <w:sz w:val="18"/>
                <w:szCs w:val="18"/>
              </w:rPr>
              <w:t>ДОХОДЫ ОТ ОКАЗАНИЯ ПЛАТНЫХ УСЛУГ И КОМПЕНСАЦИИ ЗАТРАТ ГОСУДАРСТВА</w:t>
            </w:r>
          </w:p>
        </w:tc>
        <w:tc>
          <w:tcPr>
            <w:tcW w:w="1134" w:type="dxa"/>
            <w:tcBorders>
              <w:top w:val="nil"/>
              <w:left w:val="single" w:sz="4" w:space="0" w:color="auto"/>
              <w:bottom w:val="single" w:sz="4" w:space="0" w:color="auto"/>
              <w:right w:val="nil"/>
            </w:tcBorders>
            <w:shd w:val="clear" w:color="auto" w:fill="FFFFFF"/>
            <w:noWrap/>
            <w:vAlign w:val="center"/>
          </w:tcPr>
          <w:p w:rsidR="00AF2180" w:rsidRPr="004D2409" w:rsidRDefault="00AF2180" w:rsidP="00BD517D">
            <w:pPr>
              <w:jc w:val="center"/>
              <w:rPr>
                <w:sz w:val="20"/>
                <w:szCs w:val="20"/>
              </w:rPr>
            </w:pPr>
            <w:r w:rsidRPr="00BE7851">
              <w:rPr>
                <w:sz w:val="20"/>
                <w:szCs w:val="20"/>
              </w:rPr>
              <w:t>453,5</w:t>
            </w:r>
          </w:p>
        </w:tc>
        <w:tc>
          <w:tcPr>
            <w:tcW w:w="1134" w:type="dxa"/>
            <w:tcBorders>
              <w:top w:val="nil"/>
              <w:left w:val="single" w:sz="4" w:space="0" w:color="auto"/>
              <w:bottom w:val="single" w:sz="4" w:space="0" w:color="auto"/>
              <w:right w:val="nil"/>
            </w:tcBorders>
            <w:shd w:val="clear" w:color="auto" w:fill="FFFFFF"/>
            <w:noWrap/>
            <w:vAlign w:val="center"/>
          </w:tcPr>
          <w:p w:rsidR="00AF2180" w:rsidRDefault="00AF2180" w:rsidP="00BD517D">
            <w:pPr>
              <w:jc w:val="center"/>
              <w:rPr>
                <w:sz w:val="20"/>
                <w:szCs w:val="20"/>
              </w:rPr>
            </w:pPr>
            <w:r w:rsidRPr="00781CE0">
              <w:rPr>
                <w:sz w:val="20"/>
                <w:szCs w:val="20"/>
              </w:rPr>
              <w:t>671</w:t>
            </w:r>
            <w:r>
              <w:rPr>
                <w:sz w:val="20"/>
                <w:szCs w:val="20"/>
              </w:rPr>
              <w:t>,7</w:t>
            </w:r>
          </w:p>
        </w:tc>
        <w:tc>
          <w:tcPr>
            <w:tcW w:w="1418"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jc w:val="center"/>
              <w:rPr>
                <w:sz w:val="20"/>
                <w:szCs w:val="20"/>
              </w:rPr>
            </w:pPr>
            <w:r>
              <w:rPr>
                <w:sz w:val="20"/>
                <w:szCs w:val="20"/>
              </w:rPr>
              <w:t>+544,6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pStyle w:val="a6"/>
              <w:ind w:left="175"/>
              <w:jc w:val="center"/>
              <w:rPr>
                <w:sz w:val="20"/>
                <w:szCs w:val="20"/>
              </w:rPr>
            </w:pPr>
            <w:r>
              <w:rPr>
                <w:sz w:val="20"/>
                <w:szCs w:val="20"/>
              </w:rPr>
              <w:t>998,1</w:t>
            </w:r>
          </w:p>
        </w:tc>
        <w:tc>
          <w:tcPr>
            <w:tcW w:w="2410" w:type="dxa"/>
            <w:tcBorders>
              <w:top w:val="single" w:sz="8" w:space="0" w:color="auto"/>
              <w:right w:val="single" w:sz="8" w:space="0" w:color="auto"/>
            </w:tcBorders>
            <w:shd w:val="clear" w:color="auto" w:fill="auto"/>
            <w:vAlign w:val="center"/>
          </w:tcPr>
          <w:p w:rsidR="00AF2180" w:rsidRPr="00BD517D" w:rsidRDefault="00AF2180" w:rsidP="00BD517D">
            <w:pPr>
              <w:jc w:val="center"/>
              <w:rPr>
                <w:sz w:val="18"/>
                <w:szCs w:val="18"/>
              </w:rPr>
            </w:pPr>
            <w:r w:rsidRPr="00BD517D">
              <w:rPr>
                <w:sz w:val="18"/>
                <w:szCs w:val="18"/>
              </w:rPr>
              <w:t>Ходатайство ФУ  Котласского муниципального округа Архангельской области  от 20.03.2025 г, Ходатайство УИХК администрации  Котласского муниципального округа Архангельской области  от 19.03.2025 г, Ходатайство Администрации  Котласского муниципального округа Архангельской области  от 20.03.2025 г</w:t>
            </w:r>
          </w:p>
        </w:tc>
      </w:tr>
      <w:tr w:rsidR="00AF2180" w:rsidRPr="00F350D6" w:rsidTr="004A59D1">
        <w:trPr>
          <w:trHeight w:val="409"/>
        </w:trPr>
        <w:tc>
          <w:tcPr>
            <w:tcW w:w="534" w:type="dxa"/>
            <w:tcBorders>
              <w:top w:val="nil"/>
              <w:left w:val="single" w:sz="4" w:space="0" w:color="auto"/>
              <w:bottom w:val="single" w:sz="4" w:space="0" w:color="auto"/>
              <w:right w:val="single" w:sz="4" w:space="0" w:color="auto"/>
            </w:tcBorders>
            <w:shd w:val="clear" w:color="auto" w:fill="auto"/>
            <w:noWrap/>
            <w:vAlign w:val="center"/>
          </w:tcPr>
          <w:p w:rsidR="00AF2180" w:rsidRDefault="00AF2180" w:rsidP="00BD517D">
            <w:pPr>
              <w:jc w:val="center"/>
              <w:rPr>
                <w:sz w:val="20"/>
                <w:szCs w:val="20"/>
              </w:rPr>
            </w:pPr>
            <w:r>
              <w:rPr>
                <w:sz w:val="20"/>
                <w:szCs w:val="20"/>
              </w:rPr>
              <w:t>2.</w:t>
            </w:r>
          </w:p>
        </w:tc>
        <w:tc>
          <w:tcPr>
            <w:tcW w:w="2409" w:type="dxa"/>
            <w:tcBorders>
              <w:top w:val="nil"/>
              <w:left w:val="nil"/>
              <w:bottom w:val="single" w:sz="4" w:space="0" w:color="auto"/>
              <w:right w:val="single" w:sz="4" w:space="0" w:color="auto"/>
            </w:tcBorders>
            <w:shd w:val="clear" w:color="auto" w:fill="auto"/>
            <w:vAlign w:val="bottom"/>
          </w:tcPr>
          <w:p w:rsidR="00AF2180" w:rsidRPr="00DE617C" w:rsidRDefault="00AF2180" w:rsidP="00BD517D">
            <w:pPr>
              <w:outlineLvl w:val="1"/>
              <w:rPr>
                <w:sz w:val="18"/>
                <w:szCs w:val="18"/>
              </w:rPr>
            </w:pPr>
            <w:r w:rsidRPr="004D2409">
              <w:rPr>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single" w:sz="4" w:space="0" w:color="auto"/>
              <w:bottom w:val="single" w:sz="4" w:space="0" w:color="auto"/>
              <w:right w:val="nil"/>
            </w:tcBorders>
            <w:shd w:val="clear" w:color="auto" w:fill="FFFFFF"/>
            <w:noWrap/>
            <w:vAlign w:val="center"/>
          </w:tcPr>
          <w:p w:rsidR="00AF2180" w:rsidRPr="004D2409" w:rsidRDefault="00AF2180" w:rsidP="00BD517D">
            <w:pPr>
              <w:jc w:val="center"/>
              <w:rPr>
                <w:sz w:val="20"/>
                <w:szCs w:val="20"/>
              </w:rPr>
            </w:pPr>
            <w:r>
              <w:rPr>
                <w:sz w:val="20"/>
                <w:szCs w:val="20"/>
              </w:rPr>
              <w:t>0,0</w:t>
            </w:r>
          </w:p>
        </w:tc>
        <w:tc>
          <w:tcPr>
            <w:tcW w:w="1134" w:type="dxa"/>
            <w:tcBorders>
              <w:top w:val="nil"/>
              <w:left w:val="single" w:sz="4" w:space="0" w:color="auto"/>
              <w:bottom w:val="single" w:sz="4" w:space="0" w:color="auto"/>
              <w:right w:val="nil"/>
            </w:tcBorders>
            <w:shd w:val="clear" w:color="auto" w:fill="FFFFFF"/>
            <w:noWrap/>
            <w:vAlign w:val="center"/>
          </w:tcPr>
          <w:p w:rsidR="00AF2180" w:rsidRDefault="00AF2180" w:rsidP="00BD517D">
            <w:pPr>
              <w:jc w:val="center"/>
              <w:rPr>
                <w:sz w:val="20"/>
                <w:szCs w:val="20"/>
              </w:rPr>
            </w:pPr>
            <w:r>
              <w:rPr>
                <w:sz w:val="20"/>
                <w:szCs w:val="20"/>
              </w:rPr>
              <w:t>394,6</w:t>
            </w:r>
          </w:p>
        </w:tc>
        <w:tc>
          <w:tcPr>
            <w:tcW w:w="1418"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jc w:val="center"/>
              <w:rPr>
                <w:sz w:val="20"/>
                <w:szCs w:val="20"/>
              </w:rPr>
            </w:pPr>
            <w:r>
              <w:rPr>
                <w:sz w:val="20"/>
                <w:szCs w:val="20"/>
              </w:rPr>
              <w:t>+394,6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pStyle w:val="a6"/>
              <w:ind w:left="175"/>
              <w:jc w:val="center"/>
              <w:rPr>
                <w:sz w:val="20"/>
                <w:szCs w:val="20"/>
              </w:rPr>
            </w:pPr>
            <w:r>
              <w:rPr>
                <w:sz w:val="20"/>
                <w:szCs w:val="20"/>
              </w:rPr>
              <w:t>394,6</w:t>
            </w:r>
          </w:p>
        </w:tc>
        <w:tc>
          <w:tcPr>
            <w:tcW w:w="2410" w:type="dxa"/>
            <w:tcBorders>
              <w:top w:val="single" w:sz="8" w:space="0" w:color="auto"/>
              <w:right w:val="single" w:sz="8" w:space="0" w:color="auto"/>
            </w:tcBorders>
            <w:shd w:val="clear" w:color="auto" w:fill="auto"/>
            <w:vAlign w:val="center"/>
          </w:tcPr>
          <w:p w:rsidR="00AF2180" w:rsidRPr="00BD517D" w:rsidRDefault="00AF2180" w:rsidP="00BD517D">
            <w:pPr>
              <w:jc w:val="center"/>
              <w:rPr>
                <w:sz w:val="18"/>
                <w:szCs w:val="18"/>
              </w:rPr>
            </w:pPr>
            <w:r w:rsidRPr="00BD517D">
              <w:rPr>
                <w:sz w:val="18"/>
                <w:szCs w:val="18"/>
              </w:rPr>
              <w:t>Ходатайство УИХК администрации  Котласского муниципального округа Архангельской области  от 19.03.2025 г</w:t>
            </w:r>
          </w:p>
        </w:tc>
      </w:tr>
      <w:tr w:rsidR="00AF2180" w:rsidRPr="00F350D6" w:rsidTr="004A59D1">
        <w:trPr>
          <w:trHeight w:val="409"/>
        </w:trPr>
        <w:tc>
          <w:tcPr>
            <w:tcW w:w="534" w:type="dxa"/>
            <w:tcBorders>
              <w:top w:val="nil"/>
              <w:left w:val="single" w:sz="4" w:space="0" w:color="auto"/>
              <w:bottom w:val="single" w:sz="4" w:space="0" w:color="auto"/>
              <w:right w:val="single" w:sz="4" w:space="0" w:color="auto"/>
            </w:tcBorders>
            <w:shd w:val="clear" w:color="auto" w:fill="auto"/>
            <w:noWrap/>
            <w:vAlign w:val="center"/>
          </w:tcPr>
          <w:p w:rsidR="00AF2180" w:rsidRDefault="00AF2180" w:rsidP="00BD517D">
            <w:pPr>
              <w:jc w:val="center"/>
              <w:rPr>
                <w:sz w:val="20"/>
                <w:szCs w:val="20"/>
              </w:rPr>
            </w:pPr>
            <w:r>
              <w:rPr>
                <w:sz w:val="20"/>
                <w:szCs w:val="20"/>
              </w:rPr>
              <w:t>3.</w:t>
            </w:r>
          </w:p>
        </w:tc>
        <w:tc>
          <w:tcPr>
            <w:tcW w:w="2409" w:type="dxa"/>
            <w:tcBorders>
              <w:top w:val="nil"/>
              <w:left w:val="nil"/>
              <w:bottom w:val="single" w:sz="4" w:space="0" w:color="auto"/>
              <w:right w:val="single" w:sz="4" w:space="0" w:color="auto"/>
            </w:tcBorders>
            <w:shd w:val="clear" w:color="auto" w:fill="auto"/>
            <w:vAlign w:val="center"/>
          </w:tcPr>
          <w:p w:rsidR="00AF2180" w:rsidRPr="004D2409" w:rsidRDefault="00AF2180" w:rsidP="00BD517D">
            <w:pPr>
              <w:outlineLvl w:val="1"/>
              <w:rPr>
                <w:sz w:val="18"/>
                <w:szCs w:val="18"/>
              </w:rPr>
            </w:pPr>
            <w:r w:rsidRPr="00BE7851">
              <w:rPr>
                <w:sz w:val="18"/>
                <w:szCs w:val="18"/>
              </w:rPr>
              <w:t>Инициативные платежи</w:t>
            </w:r>
          </w:p>
        </w:tc>
        <w:tc>
          <w:tcPr>
            <w:tcW w:w="1134" w:type="dxa"/>
            <w:tcBorders>
              <w:top w:val="nil"/>
              <w:left w:val="single" w:sz="4" w:space="0" w:color="auto"/>
              <w:bottom w:val="single" w:sz="4" w:space="0" w:color="auto"/>
              <w:right w:val="nil"/>
            </w:tcBorders>
            <w:shd w:val="clear" w:color="auto" w:fill="FFFFFF"/>
            <w:noWrap/>
            <w:vAlign w:val="center"/>
          </w:tcPr>
          <w:p w:rsidR="00AF2180" w:rsidRPr="00753935" w:rsidRDefault="00AF2180" w:rsidP="00BD517D">
            <w:pPr>
              <w:jc w:val="center"/>
              <w:rPr>
                <w:sz w:val="20"/>
                <w:szCs w:val="20"/>
              </w:rPr>
            </w:pPr>
            <w:r>
              <w:rPr>
                <w:sz w:val="20"/>
                <w:szCs w:val="20"/>
              </w:rPr>
              <w:t>0,0</w:t>
            </w:r>
          </w:p>
        </w:tc>
        <w:tc>
          <w:tcPr>
            <w:tcW w:w="1134" w:type="dxa"/>
            <w:tcBorders>
              <w:top w:val="nil"/>
              <w:left w:val="single" w:sz="4" w:space="0" w:color="auto"/>
              <w:bottom w:val="single" w:sz="4" w:space="0" w:color="auto"/>
              <w:right w:val="nil"/>
            </w:tcBorders>
            <w:shd w:val="clear" w:color="auto" w:fill="FFFFFF"/>
            <w:noWrap/>
            <w:vAlign w:val="center"/>
          </w:tcPr>
          <w:p w:rsidR="00AF2180" w:rsidRDefault="00AF2180" w:rsidP="00BD517D">
            <w:pPr>
              <w:jc w:val="center"/>
              <w:rPr>
                <w:sz w:val="20"/>
                <w:szCs w:val="20"/>
              </w:rPr>
            </w:pPr>
            <w:r>
              <w:rPr>
                <w:sz w:val="20"/>
                <w:szCs w:val="20"/>
              </w:rPr>
              <w:t>70,6</w:t>
            </w:r>
          </w:p>
        </w:tc>
        <w:tc>
          <w:tcPr>
            <w:tcW w:w="1418"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jc w:val="center"/>
              <w:rPr>
                <w:sz w:val="20"/>
                <w:szCs w:val="20"/>
              </w:rPr>
            </w:pPr>
            <w:r>
              <w:rPr>
                <w:sz w:val="20"/>
                <w:szCs w:val="20"/>
              </w:rPr>
              <w:t>+6 120,6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AF2180" w:rsidRDefault="00AF2180" w:rsidP="00BD517D">
            <w:pPr>
              <w:pStyle w:val="a6"/>
              <w:ind w:left="175"/>
              <w:jc w:val="center"/>
              <w:rPr>
                <w:sz w:val="20"/>
                <w:szCs w:val="20"/>
              </w:rPr>
            </w:pPr>
            <w:r>
              <w:rPr>
                <w:sz w:val="20"/>
                <w:szCs w:val="20"/>
              </w:rPr>
              <w:t>6 120,6</w:t>
            </w:r>
          </w:p>
        </w:tc>
        <w:tc>
          <w:tcPr>
            <w:tcW w:w="2410" w:type="dxa"/>
            <w:tcBorders>
              <w:top w:val="single" w:sz="8" w:space="0" w:color="auto"/>
              <w:right w:val="single" w:sz="8" w:space="0" w:color="auto"/>
            </w:tcBorders>
            <w:shd w:val="clear" w:color="auto" w:fill="auto"/>
            <w:vAlign w:val="center"/>
          </w:tcPr>
          <w:p w:rsidR="00AF2180" w:rsidRPr="00BD517D" w:rsidRDefault="00AF2180" w:rsidP="00BD517D">
            <w:pPr>
              <w:jc w:val="center"/>
              <w:rPr>
                <w:sz w:val="18"/>
                <w:szCs w:val="18"/>
              </w:rPr>
            </w:pPr>
            <w:r w:rsidRPr="00BD517D">
              <w:rPr>
                <w:sz w:val="18"/>
                <w:szCs w:val="18"/>
              </w:rPr>
              <w:t xml:space="preserve">Ходатайство УИХК администрации  Котласского муниципального округа Архангельской области  от </w:t>
            </w:r>
            <w:r w:rsidRPr="00BD517D">
              <w:rPr>
                <w:sz w:val="18"/>
                <w:szCs w:val="18"/>
              </w:rPr>
              <w:lastRenderedPageBreak/>
              <w:t>20.03.2025 г, Ходатайство УСП администрации  Котласского муниципального округа Архангельской области  от 20.03.2025 г</w:t>
            </w:r>
          </w:p>
        </w:tc>
      </w:tr>
      <w:tr w:rsidR="00AF2180" w:rsidRPr="00F350D6" w:rsidTr="00F200EC">
        <w:trPr>
          <w:trHeight w:val="136"/>
        </w:trPr>
        <w:tc>
          <w:tcPr>
            <w:tcW w:w="534" w:type="dxa"/>
            <w:tcBorders>
              <w:top w:val="nil"/>
              <w:left w:val="single" w:sz="4" w:space="0" w:color="auto"/>
              <w:bottom w:val="single" w:sz="4" w:space="0" w:color="auto"/>
              <w:right w:val="single" w:sz="4" w:space="0" w:color="auto"/>
            </w:tcBorders>
            <w:shd w:val="clear" w:color="auto" w:fill="auto"/>
            <w:noWrap/>
            <w:vAlign w:val="center"/>
          </w:tcPr>
          <w:p w:rsidR="00AF2180" w:rsidRPr="00F350D6" w:rsidRDefault="00AF2180" w:rsidP="00BD517D">
            <w:pPr>
              <w:jc w:val="center"/>
              <w:rPr>
                <w:sz w:val="21"/>
                <w:szCs w:val="21"/>
              </w:rPr>
            </w:pPr>
          </w:p>
        </w:tc>
        <w:tc>
          <w:tcPr>
            <w:tcW w:w="2409" w:type="dxa"/>
            <w:tcBorders>
              <w:top w:val="nil"/>
              <w:left w:val="nil"/>
              <w:bottom w:val="single" w:sz="4" w:space="0" w:color="auto"/>
              <w:right w:val="single" w:sz="4" w:space="0" w:color="auto"/>
            </w:tcBorders>
            <w:shd w:val="clear" w:color="auto" w:fill="auto"/>
            <w:vAlign w:val="center"/>
          </w:tcPr>
          <w:p w:rsidR="00AF2180" w:rsidRPr="00901D57" w:rsidRDefault="00AF2180" w:rsidP="00BD517D">
            <w:pPr>
              <w:rPr>
                <w:b/>
                <w:bCs/>
                <w:i/>
                <w:iCs/>
              </w:rPr>
            </w:pPr>
            <w:r w:rsidRPr="00901D57">
              <w:rPr>
                <w:b/>
                <w:bCs/>
                <w:i/>
                <w:iCs/>
              </w:rPr>
              <w:t>Итого доходы собственные</w:t>
            </w:r>
          </w:p>
        </w:tc>
        <w:tc>
          <w:tcPr>
            <w:tcW w:w="1134" w:type="dxa"/>
            <w:tcBorders>
              <w:top w:val="nil"/>
              <w:left w:val="single" w:sz="4" w:space="0" w:color="auto"/>
              <w:bottom w:val="single" w:sz="4" w:space="0" w:color="auto"/>
              <w:right w:val="nil"/>
            </w:tcBorders>
            <w:shd w:val="clear" w:color="auto" w:fill="FFFFFF"/>
            <w:noWrap/>
            <w:vAlign w:val="center"/>
          </w:tcPr>
          <w:p w:rsidR="00AF2180" w:rsidRPr="00F562A1" w:rsidRDefault="00AF2180" w:rsidP="00BD517D">
            <w:pPr>
              <w:jc w:val="center"/>
              <w:rPr>
                <w:b/>
                <w:i/>
                <w:sz w:val="21"/>
                <w:szCs w:val="21"/>
              </w:rPr>
            </w:pPr>
            <w:r w:rsidRPr="00BE7851">
              <w:rPr>
                <w:b/>
                <w:i/>
                <w:sz w:val="21"/>
                <w:szCs w:val="21"/>
              </w:rPr>
              <w:t>308 126,2</w:t>
            </w:r>
          </w:p>
        </w:tc>
        <w:tc>
          <w:tcPr>
            <w:tcW w:w="1134" w:type="dxa"/>
            <w:tcBorders>
              <w:top w:val="nil"/>
              <w:left w:val="single" w:sz="4" w:space="0" w:color="auto"/>
              <w:bottom w:val="single" w:sz="4" w:space="0" w:color="auto"/>
              <w:right w:val="nil"/>
            </w:tcBorders>
            <w:shd w:val="clear" w:color="auto" w:fill="FFFFFF"/>
            <w:noWrap/>
            <w:vAlign w:val="center"/>
          </w:tcPr>
          <w:p w:rsidR="00AF2180" w:rsidRPr="00F562A1" w:rsidRDefault="00AF2180" w:rsidP="00BD517D">
            <w:pPr>
              <w:jc w:val="center"/>
              <w:rPr>
                <w:b/>
                <w:i/>
                <w:sz w:val="21"/>
                <w:szCs w:val="21"/>
              </w:rPr>
            </w:pPr>
            <w:r>
              <w:rPr>
                <w:b/>
                <w:i/>
                <w:sz w:val="21"/>
                <w:szCs w:val="21"/>
              </w:rPr>
              <w:t>46 325,7</w:t>
            </w:r>
          </w:p>
        </w:tc>
        <w:tc>
          <w:tcPr>
            <w:tcW w:w="1418" w:type="dxa"/>
            <w:tcBorders>
              <w:top w:val="nil"/>
              <w:left w:val="single" w:sz="4" w:space="0" w:color="auto"/>
              <w:bottom w:val="single" w:sz="4" w:space="0" w:color="auto"/>
              <w:right w:val="single" w:sz="4" w:space="0" w:color="auto"/>
            </w:tcBorders>
            <w:shd w:val="clear" w:color="auto" w:fill="FFFFFF"/>
            <w:noWrap/>
            <w:vAlign w:val="center"/>
          </w:tcPr>
          <w:p w:rsidR="00AF2180" w:rsidRPr="00A02025" w:rsidRDefault="00AF2180" w:rsidP="00BD517D">
            <w:pPr>
              <w:jc w:val="center"/>
              <w:rPr>
                <w:b/>
                <w:i/>
                <w:sz w:val="22"/>
                <w:szCs w:val="22"/>
              </w:rPr>
            </w:pPr>
            <w:r>
              <w:rPr>
                <w:b/>
                <w:i/>
                <w:sz w:val="22"/>
                <w:szCs w:val="22"/>
              </w:rPr>
              <w:t>7 059,8</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AF2180" w:rsidRPr="00A02025" w:rsidRDefault="00AF2180" w:rsidP="00BD517D">
            <w:pPr>
              <w:pStyle w:val="a6"/>
              <w:ind w:left="0"/>
              <w:jc w:val="center"/>
              <w:rPr>
                <w:b/>
                <w:i/>
                <w:sz w:val="21"/>
                <w:szCs w:val="21"/>
              </w:rPr>
            </w:pPr>
            <w:r>
              <w:rPr>
                <w:b/>
                <w:i/>
                <w:sz w:val="21"/>
                <w:szCs w:val="21"/>
              </w:rPr>
              <w:t>315 186,0</w:t>
            </w:r>
          </w:p>
        </w:tc>
        <w:tc>
          <w:tcPr>
            <w:tcW w:w="2410" w:type="dxa"/>
            <w:tcBorders>
              <w:top w:val="single" w:sz="8" w:space="0" w:color="auto"/>
              <w:bottom w:val="single" w:sz="8" w:space="0" w:color="auto"/>
              <w:right w:val="single" w:sz="8" w:space="0" w:color="auto"/>
            </w:tcBorders>
            <w:shd w:val="clear" w:color="auto" w:fill="auto"/>
          </w:tcPr>
          <w:p w:rsidR="00AF2180" w:rsidRPr="00F350D6" w:rsidRDefault="00AF2180" w:rsidP="00BD517D">
            <w:pPr>
              <w:rPr>
                <w:sz w:val="21"/>
                <w:szCs w:val="21"/>
              </w:rPr>
            </w:pPr>
          </w:p>
        </w:tc>
      </w:tr>
    </w:tbl>
    <w:p w:rsidR="00AF2180" w:rsidRDefault="00AF2180" w:rsidP="004A5340">
      <w:pPr>
        <w:spacing w:line="276" w:lineRule="auto"/>
        <w:ind w:firstLine="709"/>
        <w:jc w:val="both"/>
        <w:rPr>
          <w:b/>
          <w:sz w:val="26"/>
          <w:szCs w:val="26"/>
        </w:rPr>
      </w:pPr>
    </w:p>
    <w:p w:rsidR="00C90AA5" w:rsidRPr="004A5340" w:rsidRDefault="00BE1569" w:rsidP="004A5340">
      <w:pPr>
        <w:spacing w:line="276" w:lineRule="auto"/>
        <w:ind w:firstLine="709"/>
        <w:jc w:val="both"/>
        <w:rPr>
          <w:b/>
          <w:sz w:val="26"/>
          <w:szCs w:val="26"/>
        </w:rPr>
      </w:pPr>
      <w:r>
        <w:rPr>
          <w:b/>
          <w:sz w:val="26"/>
          <w:szCs w:val="26"/>
        </w:rPr>
        <w:t>2</w:t>
      </w:r>
      <w:r w:rsidR="0093312A" w:rsidRPr="004A5340">
        <w:rPr>
          <w:b/>
          <w:sz w:val="26"/>
          <w:szCs w:val="26"/>
        </w:rPr>
        <w:t xml:space="preserve">) </w:t>
      </w:r>
      <w:r w:rsidR="00C90AA5" w:rsidRPr="004A5340">
        <w:rPr>
          <w:b/>
          <w:sz w:val="26"/>
          <w:szCs w:val="26"/>
        </w:rPr>
        <w:t>Увеличение доходной части бюджета по межбюджетным трансфертам на 20</w:t>
      </w:r>
      <w:r w:rsidR="00A67E61" w:rsidRPr="004A5340">
        <w:rPr>
          <w:b/>
          <w:sz w:val="26"/>
          <w:szCs w:val="26"/>
        </w:rPr>
        <w:t>2</w:t>
      </w:r>
      <w:r w:rsidR="0061265F" w:rsidRPr="004A5340">
        <w:rPr>
          <w:b/>
          <w:sz w:val="26"/>
          <w:szCs w:val="26"/>
        </w:rPr>
        <w:t>5</w:t>
      </w:r>
      <w:r w:rsidR="00C90AA5" w:rsidRPr="004A5340">
        <w:rPr>
          <w:b/>
          <w:sz w:val="26"/>
          <w:szCs w:val="26"/>
        </w:rPr>
        <w:t xml:space="preserve"> год: </w:t>
      </w:r>
    </w:p>
    <w:tbl>
      <w:tblPr>
        <w:tblW w:w="10078" w:type="dxa"/>
        <w:tblInd w:w="95" w:type="dxa"/>
        <w:tblLook w:val="04A0"/>
      </w:tblPr>
      <w:tblGrid>
        <w:gridCol w:w="3393"/>
        <w:gridCol w:w="683"/>
        <w:gridCol w:w="2148"/>
        <w:gridCol w:w="1160"/>
        <w:gridCol w:w="1276"/>
        <w:gridCol w:w="1418"/>
      </w:tblGrid>
      <w:tr w:rsidR="0050630E" w:rsidRPr="00781CE0" w:rsidTr="0050630E">
        <w:trPr>
          <w:trHeight w:val="225"/>
        </w:trPr>
        <w:tc>
          <w:tcPr>
            <w:tcW w:w="3393" w:type="dxa"/>
            <w:vMerge w:val="restart"/>
            <w:tcBorders>
              <w:top w:val="single" w:sz="8" w:space="0" w:color="auto"/>
              <w:left w:val="single" w:sz="8" w:space="0" w:color="auto"/>
              <w:bottom w:val="single" w:sz="4" w:space="0" w:color="000000"/>
              <w:right w:val="nil"/>
            </w:tcBorders>
            <w:shd w:val="clear" w:color="auto" w:fill="auto"/>
            <w:vAlign w:val="center"/>
            <w:hideMark/>
          </w:tcPr>
          <w:p w:rsidR="0050630E" w:rsidRPr="00781CE0" w:rsidRDefault="0050630E" w:rsidP="007E2A44">
            <w:pPr>
              <w:jc w:val="center"/>
              <w:rPr>
                <w:sz w:val="18"/>
                <w:szCs w:val="18"/>
              </w:rPr>
            </w:pPr>
            <w:r w:rsidRPr="00781CE0">
              <w:rPr>
                <w:sz w:val="18"/>
                <w:szCs w:val="18"/>
              </w:rPr>
              <w:t>Наименование показателя</w:t>
            </w:r>
          </w:p>
        </w:tc>
        <w:tc>
          <w:tcPr>
            <w:tcW w:w="683" w:type="dxa"/>
            <w:vMerge w:val="restart"/>
            <w:tcBorders>
              <w:top w:val="single" w:sz="8" w:space="0" w:color="auto"/>
              <w:left w:val="single" w:sz="4" w:space="0" w:color="auto"/>
              <w:bottom w:val="single" w:sz="4" w:space="0" w:color="000000"/>
              <w:right w:val="nil"/>
            </w:tcBorders>
            <w:shd w:val="clear" w:color="auto" w:fill="auto"/>
            <w:vAlign w:val="center"/>
            <w:hideMark/>
          </w:tcPr>
          <w:p w:rsidR="0050630E" w:rsidRPr="00781CE0" w:rsidRDefault="0050630E" w:rsidP="007E2A44">
            <w:pPr>
              <w:jc w:val="center"/>
              <w:rPr>
                <w:sz w:val="18"/>
                <w:szCs w:val="18"/>
              </w:rPr>
            </w:pPr>
            <w:r w:rsidRPr="00781CE0">
              <w:rPr>
                <w:sz w:val="18"/>
                <w:szCs w:val="18"/>
              </w:rPr>
              <w:t>ППП</w:t>
            </w:r>
          </w:p>
        </w:tc>
        <w:tc>
          <w:tcPr>
            <w:tcW w:w="2148"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50630E" w:rsidRPr="00781CE0" w:rsidRDefault="0050630E" w:rsidP="007E2A44">
            <w:pPr>
              <w:jc w:val="center"/>
              <w:rPr>
                <w:sz w:val="16"/>
                <w:szCs w:val="16"/>
              </w:rPr>
            </w:pPr>
            <w:r w:rsidRPr="00781CE0">
              <w:rPr>
                <w:sz w:val="16"/>
                <w:szCs w:val="16"/>
              </w:rPr>
              <w:t>Классификатор доходов</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630E" w:rsidRPr="00781CE0" w:rsidRDefault="0050630E" w:rsidP="007E2A44">
            <w:pPr>
              <w:jc w:val="center"/>
              <w:rPr>
                <w:sz w:val="16"/>
                <w:szCs w:val="16"/>
              </w:rPr>
            </w:pPr>
            <w:r w:rsidRPr="00781CE0">
              <w:rPr>
                <w:sz w:val="16"/>
                <w:szCs w:val="16"/>
              </w:rPr>
              <w:t>План на 2025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630E" w:rsidRPr="00781CE0" w:rsidRDefault="0050630E" w:rsidP="007E2A44">
            <w:pPr>
              <w:jc w:val="center"/>
              <w:rPr>
                <w:sz w:val="16"/>
                <w:szCs w:val="16"/>
              </w:rPr>
            </w:pPr>
            <w:r w:rsidRPr="00781CE0">
              <w:rPr>
                <w:sz w:val="16"/>
                <w:szCs w:val="16"/>
              </w:rPr>
              <w:t>Предлагаемые изменения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630E" w:rsidRPr="00781CE0" w:rsidRDefault="0050630E" w:rsidP="007E2A44">
            <w:pPr>
              <w:jc w:val="center"/>
              <w:rPr>
                <w:sz w:val="16"/>
                <w:szCs w:val="16"/>
              </w:rPr>
            </w:pPr>
            <w:r w:rsidRPr="00781CE0">
              <w:rPr>
                <w:sz w:val="16"/>
                <w:szCs w:val="16"/>
              </w:rPr>
              <w:t>План на 2025 год с учетом изменений</w:t>
            </w:r>
          </w:p>
        </w:tc>
      </w:tr>
      <w:tr w:rsidR="0050630E" w:rsidRPr="00781CE0" w:rsidTr="0050630E">
        <w:trPr>
          <w:trHeight w:val="225"/>
        </w:trPr>
        <w:tc>
          <w:tcPr>
            <w:tcW w:w="3393" w:type="dxa"/>
            <w:vMerge/>
            <w:tcBorders>
              <w:top w:val="single" w:sz="8" w:space="0" w:color="auto"/>
              <w:left w:val="single" w:sz="8" w:space="0" w:color="auto"/>
              <w:bottom w:val="single" w:sz="4" w:space="0" w:color="000000"/>
              <w:right w:val="nil"/>
            </w:tcBorders>
            <w:vAlign w:val="center"/>
            <w:hideMark/>
          </w:tcPr>
          <w:p w:rsidR="0050630E" w:rsidRPr="00781CE0" w:rsidRDefault="0050630E" w:rsidP="007E2A44">
            <w:pPr>
              <w:rPr>
                <w:sz w:val="18"/>
                <w:szCs w:val="18"/>
              </w:rPr>
            </w:pPr>
          </w:p>
        </w:tc>
        <w:tc>
          <w:tcPr>
            <w:tcW w:w="683" w:type="dxa"/>
            <w:vMerge/>
            <w:tcBorders>
              <w:top w:val="single" w:sz="8" w:space="0" w:color="auto"/>
              <w:left w:val="single" w:sz="4" w:space="0" w:color="auto"/>
              <w:bottom w:val="single" w:sz="4" w:space="0" w:color="000000"/>
              <w:right w:val="nil"/>
            </w:tcBorders>
            <w:vAlign w:val="center"/>
            <w:hideMark/>
          </w:tcPr>
          <w:p w:rsidR="0050630E" w:rsidRPr="00781CE0" w:rsidRDefault="0050630E" w:rsidP="007E2A44">
            <w:pPr>
              <w:rPr>
                <w:sz w:val="18"/>
                <w:szCs w:val="18"/>
              </w:rPr>
            </w:pPr>
          </w:p>
        </w:tc>
        <w:tc>
          <w:tcPr>
            <w:tcW w:w="21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630E" w:rsidRPr="00781CE0" w:rsidRDefault="0050630E" w:rsidP="007E2A44">
            <w:pPr>
              <w:jc w:val="center"/>
              <w:rPr>
                <w:sz w:val="16"/>
                <w:szCs w:val="16"/>
              </w:rPr>
            </w:pPr>
            <w:r w:rsidRPr="00781CE0">
              <w:rPr>
                <w:sz w:val="16"/>
                <w:szCs w:val="16"/>
              </w:rPr>
              <w:t>вид целевых средств и ИК</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r>
      <w:tr w:rsidR="0050630E" w:rsidRPr="00781CE0" w:rsidTr="0050630E">
        <w:trPr>
          <w:trHeight w:val="225"/>
        </w:trPr>
        <w:tc>
          <w:tcPr>
            <w:tcW w:w="3393" w:type="dxa"/>
            <w:vMerge/>
            <w:tcBorders>
              <w:top w:val="single" w:sz="8" w:space="0" w:color="auto"/>
              <w:left w:val="single" w:sz="8" w:space="0" w:color="auto"/>
              <w:bottom w:val="single" w:sz="4" w:space="0" w:color="000000"/>
              <w:right w:val="nil"/>
            </w:tcBorders>
            <w:vAlign w:val="center"/>
            <w:hideMark/>
          </w:tcPr>
          <w:p w:rsidR="0050630E" w:rsidRPr="00781CE0" w:rsidRDefault="0050630E" w:rsidP="007E2A44">
            <w:pPr>
              <w:rPr>
                <w:sz w:val="18"/>
                <w:szCs w:val="18"/>
              </w:rPr>
            </w:pPr>
          </w:p>
        </w:tc>
        <w:tc>
          <w:tcPr>
            <w:tcW w:w="683" w:type="dxa"/>
            <w:vMerge/>
            <w:tcBorders>
              <w:top w:val="single" w:sz="8" w:space="0" w:color="auto"/>
              <w:left w:val="single" w:sz="4" w:space="0" w:color="auto"/>
              <w:bottom w:val="single" w:sz="4" w:space="0" w:color="000000"/>
              <w:right w:val="nil"/>
            </w:tcBorders>
            <w:vAlign w:val="center"/>
            <w:hideMark/>
          </w:tcPr>
          <w:p w:rsidR="0050630E" w:rsidRPr="00781CE0" w:rsidRDefault="0050630E" w:rsidP="007E2A44">
            <w:pPr>
              <w:rPr>
                <w:sz w:val="18"/>
                <w:szCs w:val="18"/>
              </w:rPr>
            </w:pPr>
          </w:p>
        </w:tc>
        <w:tc>
          <w:tcPr>
            <w:tcW w:w="2148" w:type="dxa"/>
            <w:vMerge/>
            <w:tcBorders>
              <w:top w:val="single" w:sz="4" w:space="0" w:color="auto"/>
              <w:left w:val="single" w:sz="4" w:space="0" w:color="auto"/>
              <w:bottom w:val="single" w:sz="4" w:space="0" w:color="000000"/>
              <w:right w:val="single" w:sz="4" w:space="0" w:color="auto"/>
            </w:tcBorders>
            <w:vAlign w:val="center"/>
            <w:hideMark/>
          </w:tcPr>
          <w:p w:rsidR="0050630E" w:rsidRPr="00781CE0" w:rsidRDefault="0050630E" w:rsidP="007E2A44">
            <w:pPr>
              <w:rPr>
                <w:sz w:val="16"/>
                <w:szCs w:val="16"/>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r>
      <w:tr w:rsidR="0050630E" w:rsidRPr="00781CE0" w:rsidTr="00F200EC">
        <w:trPr>
          <w:trHeight w:val="207"/>
        </w:trPr>
        <w:tc>
          <w:tcPr>
            <w:tcW w:w="3393" w:type="dxa"/>
            <w:vMerge/>
            <w:tcBorders>
              <w:top w:val="single" w:sz="8" w:space="0" w:color="auto"/>
              <w:left w:val="single" w:sz="8" w:space="0" w:color="auto"/>
              <w:bottom w:val="single" w:sz="4" w:space="0" w:color="000000"/>
              <w:right w:val="nil"/>
            </w:tcBorders>
            <w:vAlign w:val="center"/>
            <w:hideMark/>
          </w:tcPr>
          <w:p w:rsidR="0050630E" w:rsidRPr="00781CE0" w:rsidRDefault="0050630E" w:rsidP="007E2A44">
            <w:pPr>
              <w:rPr>
                <w:sz w:val="18"/>
                <w:szCs w:val="18"/>
              </w:rPr>
            </w:pPr>
          </w:p>
        </w:tc>
        <w:tc>
          <w:tcPr>
            <w:tcW w:w="683" w:type="dxa"/>
            <w:vMerge/>
            <w:tcBorders>
              <w:top w:val="single" w:sz="8" w:space="0" w:color="auto"/>
              <w:left w:val="single" w:sz="4" w:space="0" w:color="auto"/>
              <w:bottom w:val="single" w:sz="4" w:space="0" w:color="000000"/>
              <w:right w:val="nil"/>
            </w:tcBorders>
            <w:vAlign w:val="center"/>
            <w:hideMark/>
          </w:tcPr>
          <w:p w:rsidR="0050630E" w:rsidRPr="00781CE0" w:rsidRDefault="0050630E" w:rsidP="007E2A44">
            <w:pPr>
              <w:rPr>
                <w:sz w:val="18"/>
                <w:szCs w:val="18"/>
              </w:rPr>
            </w:pPr>
          </w:p>
        </w:tc>
        <w:tc>
          <w:tcPr>
            <w:tcW w:w="2148" w:type="dxa"/>
            <w:vMerge/>
            <w:tcBorders>
              <w:top w:val="single" w:sz="4" w:space="0" w:color="auto"/>
              <w:left w:val="single" w:sz="4" w:space="0" w:color="auto"/>
              <w:bottom w:val="single" w:sz="4" w:space="0" w:color="000000"/>
              <w:right w:val="single" w:sz="4" w:space="0" w:color="auto"/>
            </w:tcBorders>
            <w:vAlign w:val="center"/>
            <w:hideMark/>
          </w:tcPr>
          <w:p w:rsidR="0050630E" w:rsidRPr="00781CE0" w:rsidRDefault="0050630E" w:rsidP="007E2A44">
            <w:pPr>
              <w:rPr>
                <w:sz w:val="16"/>
                <w:szCs w:val="16"/>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630E" w:rsidRPr="00781CE0" w:rsidRDefault="0050630E" w:rsidP="007E2A44">
            <w:pPr>
              <w:rPr>
                <w:sz w:val="16"/>
                <w:szCs w:val="16"/>
              </w:rPr>
            </w:pPr>
          </w:p>
        </w:tc>
      </w:tr>
      <w:tr w:rsidR="0050630E" w:rsidRPr="00781CE0" w:rsidTr="007A2C78">
        <w:trPr>
          <w:trHeight w:val="133"/>
        </w:trPr>
        <w:tc>
          <w:tcPr>
            <w:tcW w:w="3393"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0630E" w:rsidRPr="00781CE0" w:rsidRDefault="0050630E" w:rsidP="007E2A44">
            <w:pPr>
              <w:jc w:val="center"/>
              <w:rPr>
                <w:sz w:val="18"/>
                <w:szCs w:val="18"/>
              </w:rPr>
            </w:pPr>
            <w:r w:rsidRPr="00781CE0">
              <w:rPr>
                <w:sz w:val="18"/>
                <w:szCs w:val="18"/>
              </w:rPr>
              <w:t>1</w:t>
            </w:r>
          </w:p>
        </w:tc>
        <w:tc>
          <w:tcPr>
            <w:tcW w:w="683" w:type="dxa"/>
            <w:tcBorders>
              <w:top w:val="nil"/>
              <w:left w:val="nil"/>
              <w:bottom w:val="single" w:sz="8" w:space="0" w:color="auto"/>
              <w:right w:val="single" w:sz="4" w:space="0" w:color="auto"/>
            </w:tcBorders>
            <w:shd w:val="clear" w:color="auto" w:fill="auto"/>
            <w:noWrap/>
            <w:vAlign w:val="bottom"/>
            <w:hideMark/>
          </w:tcPr>
          <w:p w:rsidR="0050630E" w:rsidRPr="00781CE0" w:rsidRDefault="0050630E" w:rsidP="007E2A44">
            <w:pPr>
              <w:jc w:val="center"/>
              <w:rPr>
                <w:sz w:val="18"/>
                <w:szCs w:val="18"/>
              </w:rPr>
            </w:pPr>
            <w:r w:rsidRPr="00781CE0">
              <w:rPr>
                <w:sz w:val="18"/>
                <w:szCs w:val="18"/>
              </w:rPr>
              <w:t>2</w:t>
            </w:r>
          </w:p>
        </w:tc>
        <w:tc>
          <w:tcPr>
            <w:tcW w:w="2148" w:type="dxa"/>
            <w:tcBorders>
              <w:top w:val="single" w:sz="4" w:space="0" w:color="auto"/>
              <w:left w:val="nil"/>
              <w:bottom w:val="single" w:sz="8" w:space="0" w:color="auto"/>
              <w:right w:val="single" w:sz="4" w:space="0" w:color="auto"/>
            </w:tcBorders>
            <w:shd w:val="clear" w:color="auto" w:fill="auto"/>
            <w:noWrap/>
            <w:vAlign w:val="bottom"/>
            <w:hideMark/>
          </w:tcPr>
          <w:p w:rsidR="0050630E" w:rsidRPr="00781CE0" w:rsidRDefault="0050630E" w:rsidP="007E2A44">
            <w:pPr>
              <w:jc w:val="center"/>
              <w:rPr>
                <w:sz w:val="18"/>
                <w:szCs w:val="18"/>
              </w:rPr>
            </w:pPr>
            <w:r w:rsidRPr="00781CE0">
              <w:rPr>
                <w:sz w:val="18"/>
                <w:szCs w:val="18"/>
              </w:rPr>
              <w:t>3</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rPr>
                <w:sz w:val="18"/>
                <w:szCs w:val="18"/>
              </w:rPr>
            </w:pPr>
            <w:r w:rsidRPr="00781CE0">
              <w:rPr>
                <w:sz w:val="18"/>
                <w:szCs w:val="18"/>
              </w:rPr>
              <w:t>4</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rPr>
                <w:sz w:val="18"/>
                <w:szCs w:val="18"/>
              </w:rPr>
            </w:pPr>
            <w:r w:rsidRPr="00781CE0">
              <w:rPr>
                <w:sz w:val="18"/>
                <w:szCs w:val="18"/>
              </w:rPr>
              <w:t>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rPr>
                <w:sz w:val="16"/>
                <w:szCs w:val="16"/>
              </w:rPr>
            </w:pPr>
            <w:r w:rsidRPr="00781CE0">
              <w:rPr>
                <w:sz w:val="16"/>
                <w:szCs w:val="16"/>
              </w:rPr>
              <w:t>6</w:t>
            </w:r>
          </w:p>
        </w:tc>
      </w:tr>
      <w:tr w:rsidR="0050630E" w:rsidRPr="00781CE0" w:rsidTr="0050630E">
        <w:trPr>
          <w:trHeight w:val="255"/>
        </w:trPr>
        <w:tc>
          <w:tcPr>
            <w:tcW w:w="4076"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50630E" w:rsidRPr="00781CE0" w:rsidRDefault="0050630E" w:rsidP="007E2A44">
            <w:pPr>
              <w:rPr>
                <w:b/>
                <w:bCs/>
                <w:sz w:val="18"/>
                <w:szCs w:val="18"/>
              </w:rPr>
            </w:pPr>
            <w:r w:rsidRPr="00781CE0">
              <w:rPr>
                <w:b/>
                <w:bCs/>
                <w:sz w:val="18"/>
                <w:szCs w:val="18"/>
              </w:rPr>
              <w:t>БЕЗВОЗМЕЗДНЫЕ ПОСТУПЛЕНИЯ</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rPr>
                <w:b/>
                <w:bCs/>
                <w:sz w:val="18"/>
                <w:szCs w:val="18"/>
              </w:rPr>
            </w:pPr>
            <w:r w:rsidRPr="00781CE0">
              <w:rPr>
                <w:b/>
                <w:bCs/>
                <w:sz w:val="18"/>
                <w:szCs w:val="18"/>
              </w:rPr>
              <w:t>20000000000000000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rPr>
                <w:b/>
                <w:bCs/>
                <w:sz w:val="18"/>
                <w:szCs w:val="18"/>
              </w:rPr>
            </w:pPr>
            <w:r w:rsidRPr="0026356A">
              <w:rPr>
                <w:b/>
                <w:bCs/>
                <w:sz w:val="18"/>
                <w:szCs w:val="18"/>
              </w:rPr>
              <w:t>904 997,7</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C0308" w:rsidRDefault="0050630E" w:rsidP="007E2A44">
            <w:pPr>
              <w:jc w:val="right"/>
              <w:rPr>
                <w:b/>
                <w:bCs/>
                <w:sz w:val="18"/>
                <w:szCs w:val="18"/>
              </w:rPr>
            </w:pPr>
            <w:r w:rsidRPr="007C0308">
              <w:rPr>
                <w:b/>
                <w:bCs/>
                <w:sz w:val="18"/>
                <w:szCs w:val="18"/>
              </w:rPr>
              <w:t>7 363,0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rPr>
                <w:b/>
                <w:bCs/>
                <w:sz w:val="18"/>
                <w:szCs w:val="18"/>
              </w:rPr>
            </w:pPr>
            <w:r w:rsidRPr="0026356A">
              <w:rPr>
                <w:b/>
                <w:bCs/>
                <w:sz w:val="18"/>
                <w:szCs w:val="18"/>
              </w:rPr>
              <w:t>912 360,7</w:t>
            </w:r>
          </w:p>
        </w:tc>
      </w:tr>
      <w:tr w:rsidR="0050630E" w:rsidRPr="00781CE0" w:rsidTr="0050630E">
        <w:trPr>
          <w:trHeight w:val="486"/>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0"/>
              <w:rPr>
                <w:sz w:val="18"/>
                <w:szCs w:val="18"/>
              </w:rPr>
            </w:pPr>
            <w:r w:rsidRPr="00781CE0">
              <w:rPr>
                <w:sz w:val="18"/>
                <w:szCs w:val="18"/>
              </w:rPr>
              <w:t>БЕЗВОЗМЕЗДНЫЕ ПОСТУПЛЕНИЯ ОТ ДРУГИХ БЮДЖЕТОВ БЮДЖЕТНОЙ СИСТЕМЫ РОССИЙСКОЙ ФЕДЕРАЦИИ</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0"/>
              <w:rPr>
                <w:sz w:val="18"/>
                <w:szCs w:val="18"/>
              </w:rPr>
            </w:pPr>
            <w:r w:rsidRPr="00781CE0">
              <w:rPr>
                <w:sz w:val="18"/>
                <w:szCs w:val="18"/>
              </w:rPr>
              <w:t>20200000000000000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0"/>
              <w:rPr>
                <w:i/>
                <w:iCs/>
                <w:sz w:val="18"/>
                <w:szCs w:val="18"/>
              </w:rPr>
            </w:pPr>
            <w:r w:rsidRPr="0026356A">
              <w:rPr>
                <w:i/>
                <w:iCs/>
                <w:sz w:val="18"/>
                <w:szCs w:val="18"/>
              </w:rPr>
              <w:t>906 511,6</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C0308" w:rsidRDefault="0050630E" w:rsidP="007E2A44">
            <w:pPr>
              <w:jc w:val="right"/>
              <w:outlineLvl w:val="0"/>
              <w:rPr>
                <w:i/>
                <w:iCs/>
                <w:sz w:val="18"/>
                <w:szCs w:val="18"/>
              </w:rPr>
            </w:pPr>
            <w:r w:rsidRPr="007C0308">
              <w:rPr>
                <w:i/>
                <w:iCs/>
                <w:sz w:val="18"/>
                <w:szCs w:val="18"/>
              </w:rPr>
              <w:t>6 443,1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0"/>
              <w:rPr>
                <w:i/>
                <w:iCs/>
                <w:sz w:val="18"/>
                <w:szCs w:val="18"/>
              </w:rPr>
            </w:pPr>
            <w:r w:rsidRPr="0026356A">
              <w:rPr>
                <w:i/>
                <w:iCs/>
                <w:sz w:val="18"/>
                <w:szCs w:val="18"/>
              </w:rPr>
              <w:t>912 954,7</w:t>
            </w:r>
          </w:p>
        </w:tc>
      </w:tr>
      <w:tr w:rsidR="0050630E" w:rsidRPr="00781CE0" w:rsidTr="0050630E">
        <w:trPr>
          <w:trHeight w:val="424"/>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1"/>
              <w:rPr>
                <w:b/>
                <w:bCs/>
                <w:sz w:val="18"/>
                <w:szCs w:val="18"/>
              </w:rPr>
            </w:pPr>
            <w:r w:rsidRPr="00781CE0">
              <w:rPr>
                <w:b/>
                <w:bCs/>
                <w:sz w:val="18"/>
                <w:szCs w:val="18"/>
              </w:rPr>
              <w:t>Субсидии бюджетам бюджетной системы Российской Федерации (межбюджетные субсидии)</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1"/>
              <w:rPr>
                <w:b/>
                <w:bCs/>
                <w:sz w:val="18"/>
                <w:szCs w:val="18"/>
              </w:rPr>
            </w:pPr>
            <w:r w:rsidRPr="00781CE0">
              <w:rPr>
                <w:b/>
                <w:bCs/>
                <w:sz w:val="18"/>
                <w:szCs w:val="18"/>
              </w:rPr>
              <w:t>20220000000000150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22 160,1</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544,9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22 705,0</w:t>
            </w:r>
          </w:p>
        </w:tc>
      </w:tr>
      <w:tr w:rsidR="0050630E" w:rsidRPr="00781CE0" w:rsidTr="0050630E">
        <w:trPr>
          <w:trHeight w:val="206"/>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2"/>
              <w:rPr>
                <w:sz w:val="18"/>
                <w:szCs w:val="18"/>
              </w:rPr>
            </w:pPr>
            <w:r w:rsidRPr="00781CE0">
              <w:rPr>
                <w:sz w:val="18"/>
                <w:szCs w:val="18"/>
              </w:rPr>
              <w:t>Субсидии бюджетам на реализацию мероприятий по обеспечению жильем молодых семей</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2"/>
              <w:rPr>
                <w:sz w:val="18"/>
                <w:szCs w:val="18"/>
              </w:rPr>
            </w:pPr>
            <w:r w:rsidRPr="00781CE0">
              <w:rPr>
                <w:sz w:val="18"/>
                <w:szCs w:val="18"/>
              </w:rPr>
              <w:t>20225497000000150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544,9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544,9</w:t>
            </w:r>
          </w:p>
        </w:tc>
      </w:tr>
      <w:tr w:rsidR="0050630E" w:rsidRPr="00781CE0" w:rsidTr="0050630E">
        <w:trPr>
          <w:trHeight w:val="22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6"/>
                <w:szCs w:val="16"/>
              </w:rPr>
            </w:pPr>
            <w:r w:rsidRPr="00781CE0">
              <w:rPr>
                <w:sz w:val="16"/>
                <w:szCs w:val="16"/>
              </w:rPr>
              <w:t>Субсидии бюджетам муниципальных округов на реализацию мероприятий по обеспечению жильем молодых семей</w:t>
            </w:r>
          </w:p>
        </w:tc>
        <w:tc>
          <w:tcPr>
            <w:tcW w:w="683"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090</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20225497140000150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8"/>
                <w:szCs w:val="18"/>
              </w:rPr>
            </w:pPr>
            <w:r w:rsidRPr="00781CE0">
              <w:rPr>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544,9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8"/>
                <w:szCs w:val="18"/>
              </w:rPr>
            </w:pPr>
            <w:r w:rsidRPr="00781CE0">
              <w:rPr>
                <w:sz w:val="18"/>
                <w:szCs w:val="18"/>
              </w:rPr>
              <w:t>544,9</w:t>
            </w:r>
          </w:p>
        </w:tc>
      </w:tr>
      <w:tr w:rsidR="0050630E" w:rsidRPr="00781CE0" w:rsidTr="0050630E">
        <w:trPr>
          <w:trHeight w:val="60"/>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4"/>
              <w:rPr>
                <w:sz w:val="14"/>
                <w:szCs w:val="14"/>
              </w:rPr>
            </w:pPr>
            <w:r w:rsidRPr="00781CE0">
              <w:rPr>
                <w:sz w:val="14"/>
                <w:szCs w:val="14"/>
              </w:rPr>
              <w:t>25-54970-00000-00000 Субсидии на реализацию мероприятий по обеспечению жильем молодых семей</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8"/>
                <w:szCs w:val="18"/>
              </w:rPr>
            </w:pPr>
            <w:r w:rsidRPr="00781CE0">
              <w:rPr>
                <w:sz w:val="18"/>
                <w:szCs w:val="18"/>
              </w:rPr>
              <w:t>0,0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544,9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8"/>
                <w:szCs w:val="18"/>
              </w:rPr>
            </w:pPr>
            <w:r w:rsidRPr="00781CE0">
              <w:rPr>
                <w:sz w:val="18"/>
                <w:szCs w:val="18"/>
              </w:rPr>
              <w:t>544,9</w:t>
            </w:r>
          </w:p>
        </w:tc>
      </w:tr>
      <w:tr w:rsidR="0050630E" w:rsidRPr="00781CE0" w:rsidTr="0050630E">
        <w:trPr>
          <w:trHeight w:val="169"/>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1"/>
              <w:rPr>
                <w:b/>
                <w:bCs/>
                <w:sz w:val="18"/>
                <w:szCs w:val="18"/>
              </w:rPr>
            </w:pPr>
            <w:r w:rsidRPr="00781CE0">
              <w:rPr>
                <w:b/>
                <w:bCs/>
                <w:sz w:val="18"/>
                <w:szCs w:val="18"/>
              </w:rPr>
              <w:t>Субвенции бюджетам бюджетной системы Российской Федерации</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1"/>
              <w:rPr>
                <w:b/>
                <w:bCs/>
                <w:sz w:val="18"/>
                <w:szCs w:val="18"/>
              </w:rPr>
            </w:pPr>
            <w:r w:rsidRPr="00781CE0">
              <w:rPr>
                <w:b/>
                <w:bCs/>
                <w:sz w:val="18"/>
                <w:szCs w:val="18"/>
              </w:rPr>
              <w:t>20230000000000150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1"/>
              <w:rPr>
                <w:b/>
                <w:bCs/>
                <w:sz w:val="18"/>
                <w:szCs w:val="18"/>
              </w:rPr>
            </w:pPr>
            <w:r w:rsidRPr="0026356A">
              <w:rPr>
                <w:b/>
                <w:bCs/>
                <w:sz w:val="18"/>
                <w:szCs w:val="18"/>
              </w:rPr>
              <w:t>402 302,2</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1"/>
              <w:rPr>
                <w:b/>
                <w:bCs/>
                <w:sz w:val="18"/>
                <w:szCs w:val="18"/>
              </w:rPr>
            </w:pPr>
            <w:r w:rsidRPr="0026356A">
              <w:rPr>
                <w:b/>
                <w:bCs/>
                <w:sz w:val="18"/>
                <w:szCs w:val="18"/>
              </w:rPr>
              <w:t>-2 101,8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1"/>
              <w:rPr>
                <w:b/>
                <w:bCs/>
                <w:sz w:val="18"/>
                <w:szCs w:val="18"/>
              </w:rPr>
            </w:pPr>
            <w:r w:rsidRPr="0026356A">
              <w:rPr>
                <w:b/>
                <w:bCs/>
                <w:sz w:val="18"/>
                <w:szCs w:val="18"/>
              </w:rPr>
              <w:t>400 200,</w:t>
            </w:r>
            <w:r>
              <w:rPr>
                <w:b/>
                <w:bCs/>
                <w:sz w:val="18"/>
                <w:szCs w:val="18"/>
              </w:rPr>
              <w:t>3</w:t>
            </w:r>
          </w:p>
        </w:tc>
      </w:tr>
      <w:tr w:rsidR="0050630E" w:rsidRPr="00781CE0" w:rsidTr="0050630E">
        <w:trPr>
          <w:trHeight w:val="240"/>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26356A" w:rsidRDefault="0050630E" w:rsidP="007E2A44">
            <w:pPr>
              <w:outlineLvl w:val="2"/>
              <w:rPr>
                <w:sz w:val="18"/>
                <w:szCs w:val="18"/>
                <w:highlight w:val="yellow"/>
              </w:rPr>
            </w:pPr>
            <w:r w:rsidRPr="0026356A">
              <w:rPr>
                <w:sz w:val="18"/>
                <w:szCs w:val="1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center"/>
              <w:outlineLvl w:val="2"/>
              <w:rPr>
                <w:sz w:val="18"/>
                <w:szCs w:val="18"/>
                <w:highlight w:val="yellow"/>
              </w:rPr>
            </w:pPr>
            <w:r w:rsidRPr="0026356A">
              <w:rPr>
                <w:sz w:val="18"/>
                <w:szCs w:val="18"/>
              </w:rPr>
              <w:t>20235082000000150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2"/>
              <w:rPr>
                <w:sz w:val="18"/>
                <w:szCs w:val="18"/>
              </w:rPr>
            </w:pPr>
            <w:r w:rsidRPr="0026356A">
              <w:rPr>
                <w:sz w:val="18"/>
                <w:szCs w:val="18"/>
              </w:rPr>
              <w:t>3 224,9</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2"/>
              <w:rPr>
                <w:sz w:val="18"/>
                <w:szCs w:val="18"/>
              </w:rPr>
            </w:pPr>
            <w:r w:rsidRPr="0026356A">
              <w:rPr>
                <w:sz w:val="18"/>
                <w:szCs w:val="18"/>
              </w:rPr>
              <w:t>-2 285,5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2"/>
              <w:rPr>
                <w:sz w:val="18"/>
                <w:szCs w:val="18"/>
              </w:rPr>
            </w:pPr>
            <w:r w:rsidRPr="0026356A">
              <w:rPr>
                <w:sz w:val="18"/>
                <w:szCs w:val="18"/>
              </w:rPr>
              <w:t>939,4</w:t>
            </w:r>
          </w:p>
        </w:tc>
      </w:tr>
      <w:tr w:rsidR="0050630E" w:rsidRPr="00781CE0" w:rsidTr="0050630E">
        <w:trPr>
          <w:trHeight w:val="435"/>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26356A" w:rsidRDefault="0050630E" w:rsidP="007E2A44">
            <w:pPr>
              <w:outlineLvl w:val="3"/>
              <w:rPr>
                <w:sz w:val="16"/>
                <w:szCs w:val="16"/>
                <w:highlight w:val="yellow"/>
              </w:rPr>
            </w:pPr>
            <w:r w:rsidRPr="0026356A">
              <w:rPr>
                <w:sz w:val="16"/>
                <w:szCs w:val="1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83"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center"/>
              <w:outlineLvl w:val="3"/>
              <w:rPr>
                <w:sz w:val="16"/>
                <w:szCs w:val="16"/>
                <w:highlight w:val="yellow"/>
              </w:rPr>
            </w:pPr>
            <w:r w:rsidRPr="0026356A">
              <w:rPr>
                <w:sz w:val="16"/>
                <w:szCs w:val="16"/>
              </w:rPr>
              <w:t>090</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center"/>
              <w:outlineLvl w:val="3"/>
              <w:rPr>
                <w:sz w:val="16"/>
                <w:szCs w:val="16"/>
                <w:highlight w:val="yellow"/>
              </w:rPr>
            </w:pPr>
            <w:r w:rsidRPr="0026356A">
              <w:rPr>
                <w:sz w:val="16"/>
                <w:szCs w:val="16"/>
              </w:rPr>
              <w:t>20235082140000150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3"/>
              <w:rPr>
                <w:sz w:val="16"/>
                <w:szCs w:val="16"/>
              </w:rPr>
            </w:pPr>
            <w:r w:rsidRPr="0026356A">
              <w:rPr>
                <w:sz w:val="16"/>
                <w:szCs w:val="16"/>
              </w:rPr>
              <w:t>3 224,9</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3"/>
              <w:rPr>
                <w:sz w:val="16"/>
                <w:szCs w:val="16"/>
              </w:rPr>
            </w:pPr>
            <w:r w:rsidRPr="0026356A">
              <w:rPr>
                <w:sz w:val="16"/>
                <w:szCs w:val="16"/>
              </w:rPr>
              <w:t>-2 285,5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3"/>
              <w:rPr>
                <w:sz w:val="16"/>
                <w:szCs w:val="16"/>
              </w:rPr>
            </w:pPr>
            <w:r w:rsidRPr="0026356A">
              <w:rPr>
                <w:sz w:val="16"/>
                <w:szCs w:val="16"/>
              </w:rPr>
              <w:t>939,4</w:t>
            </w:r>
          </w:p>
        </w:tc>
      </w:tr>
      <w:tr w:rsidR="0050630E" w:rsidRPr="00781CE0" w:rsidTr="0050630E">
        <w:trPr>
          <w:trHeight w:val="185"/>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26356A" w:rsidRDefault="0050630E" w:rsidP="007E2A44">
            <w:pPr>
              <w:outlineLvl w:val="4"/>
              <w:rPr>
                <w:sz w:val="14"/>
                <w:szCs w:val="14"/>
                <w:highlight w:val="yellow"/>
              </w:rPr>
            </w:pPr>
            <w:r w:rsidRPr="0026356A">
              <w:rPr>
                <w:sz w:val="14"/>
                <w:szCs w:val="14"/>
              </w:rPr>
              <w:t xml:space="preserve">2550820X256420000000 Субвенции бюджетам муниципальных районов, муниципальных округов и городских округов Архангельской области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соглашения между Министерством строительства и жилищно-коммунального хозяйства Российской Федерации </w:t>
            </w:r>
            <w:proofErr w:type="spellStart"/>
            <w:r w:rsidRPr="0026356A">
              <w:rPr>
                <w:sz w:val="14"/>
                <w:szCs w:val="14"/>
              </w:rPr>
              <w:t>ти</w:t>
            </w:r>
            <w:proofErr w:type="spellEnd"/>
            <w:r w:rsidRPr="0026356A">
              <w:rPr>
                <w:sz w:val="14"/>
                <w:szCs w:val="14"/>
              </w:rPr>
              <w:t xml:space="preserve"> Правительством Архангельской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4"/>
              <w:rPr>
                <w:sz w:val="14"/>
                <w:szCs w:val="14"/>
              </w:rPr>
            </w:pPr>
            <w:r w:rsidRPr="0026356A">
              <w:rPr>
                <w:sz w:val="14"/>
                <w:szCs w:val="14"/>
              </w:rPr>
              <w:t>3 224,9</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4"/>
              <w:rPr>
                <w:sz w:val="14"/>
                <w:szCs w:val="14"/>
              </w:rPr>
            </w:pPr>
            <w:r w:rsidRPr="0026356A">
              <w:rPr>
                <w:sz w:val="14"/>
                <w:szCs w:val="14"/>
              </w:rPr>
              <w:t>-2 285,5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26356A" w:rsidRDefault="0050630E" w:rsidP="007E2A44">
            <w:pPr>
              <w:jc w:val="right"/>
              <w:outlineLvl w:val="4"/>
              <w:rPr>
                <w:sz w:val="14"/>
                <w:szCs w:val="14"/>
              </w:rPr>
            </w:pPr>
            <w:r w:rsidRPr="0026356A">
              <w:rPr>
                <w:sz w:val="14"/>
                <w:szCs w:val="14"/>
              </w:rPr>
              <w:t>939,4</w:t>
            </w:r>
          </w:p>
        </w:tc>
      </w:tr>
      <w:tr w:rsidR="0050630E" w:rsidRPr="00781CE0" w:rsidTr="00F200EC">
        <w:trPr>
          <w:trHeight w:val="60"/>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2"/>
              <w:rPr>
                <w:sz w:val="18"/>
                <w:szCs w:val="18"/>
              </w:rPr>
            </w:pPr>
            <w:r w:rsidRPr="00781CE0">
              <w:rPr>
                <w:sz w:val="18"/>
                <w:szCs w:val="18"/>
              </w:rPr>
              <w:t>Прочие субвенции</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2"/>
              <w:rPr>
                <w:sz w:val="18"/>
                <w:szCs w:val="18"/>
              </w:rPr>
            </w:pPr>
            <w:r w:rsidRPr="00781CE0">
              <w:rPr>
                <w:sz w:val="18"/>
                <w:szCs w:val="18"/>
              </w:rPr>
              <w:t>20239999000000150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331 886,8</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183,7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332 070,5</w:t>
            </w:r>
          </w:p>
        </w:tc>
      </w:tr>
      <w:tr w:rsidR="0050630E" w:rsidRPr="00781CE0" w:rsidTr="00F200EC">
        <w:trPr>
          <w:trHeight w:val="129"/>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6"/>
                <w:szCs w:val="16"/>
              </w:rPr>
            </w:pPr>
            <w:r w:rsidRPr="00781CE0">
              <w:rPr>
                <w:sz w:val="16"/>
                <w:szCs w:val="16"/>
              </w:rPr>
              <w:t>Прочие субвенции бюджетам муниципальных округов</w:t>
            </w:r>
          </w:p>
        </w:tc>
        <w:tc>
          <w:tcPr>
            <w:tcW w:w="683"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090</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20239999140000150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331 886,8</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183,7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332 070,5</w:t>
            </w:r>
          </w:p>
        </w:tc>
      </w:tr>
      <w:tr w:rsidR="0050630E" w:rsidRPr="00781CE0" w:rsidTr="0050630E">
        <w:trPr>
          <w:trHeight w:val="185"/>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4"/>
              <w:rPr>
                <w:sz w:val="14"/>
                <w:szCs w:val="14"/>
              </w:rPr>
            </w:pPr>
            <w:r w:rsidRPr="00781CE0">
              <w:rPr>
                <w:sz w:val="14"/>
                <w:szCs w:val="14"/>
              </w:rPr>
              <w:t>25-О001-0000-00000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331 488,4</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183,7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331 672,1</w:t>
            </w:r>
          </w:p>
        </w:tc>
      </w:tr>
      <w:tr w:rsidR="0050630E" w:rsidRPr="00781CE0" w:rsidTr="0050630E">
        <w:trPr>
          <w:trHeight w:val="60"/>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1"/>
              <w:rPr>
                <w:b/>
                <w:bCs/>
                <w:sz w:val="18"/>
                <w:szCs w:val="18"/>
              </w:rPr>
            </w:pPr>
            <w:r w:rsidRPr="00781CE0">
              <w:rPr>
                <w:b/>
                <w:bCs/>
                <w:sz w:val="18"/>
                <w:szCs w:val="18"/>
              </w:rPr>
              <w:t>Иные межбюджетные трансферты</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1"/>
              <w:rPr>
                <w:b/>
                <w:bCs/>
                <w:sz w:val="18"/>
                <w:szCs w:val="18"/>
              </w:rPr>
            </w:pPr>
            <w:r w:rsidRPr="00781CE0">
              <w:rPr>
                <w:b/>
                <w:bCs/>
                <w:sz w:val="18"/>
                <w:szCs w:val="18"/>
              </w:rPr>
              <w:t>20240000000000150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64 303,4</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8 000,0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72 303,4</w:t>
            </w:r>
          </w:p>
        </w:tc>
      </w:tr>
      <w:tr w:rsidR="0050630E" w:rsidRPr="00781CE0" w:rsidTr="0050630E">
        <w:trPr>
          <w:trHeight w:val="65"/>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2"/>
              <w:rPr>
                <w:sz w:val="18"/>
                <w:szCs w:val="18"/>
              </w:rPr>
            </w:pPr>
            <w:r w:rsidRPr="00781CE0">
              <w:rPr>
                <w:sz w:val="18"/>
                <w:szCs w:val="18"/>
              </w:rPr>
              <w:t>Прочие межбюджетные трансферты, передаваемые бюджетам</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2"/>
              <w:rPr>
                <w:sz w:val="18"/>
                <w:szCs w:val="18"/>
              </w:rPr>
            </w:pPr>
            <w:r w:rsidRPr="00781CE0">
              <w:rPr>
                <w:sz w:val="18"/>
                <w:szCs w:val="18"/>
              </w:rPr>
              <w:t>20249999000000150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64 303,4</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8 000,0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8"/>
                <w:szCs w:val="18"/>
              </w:rPr>
            </w:pPr>
            <w:r w:rsidRPr="00781CE0">
              <w:rPr>
                <w:sz w:val="18"/>
                <w:szCs w:val="18"/>
              </w:rPr>
              <w:t>72 303,4</w:t>
            </w:r>
          </w:p>
        </w:tc>
      </w:tr>
      <w:tr w:rsidR="0050630E" w:rsidRPr="00781CE0" w:rsidTr="0050630E">
        <w:trPr>
          <w:trHeight w:val="212"/>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6"/>
                <w:szCs w:val="16"/>
              </w:rPr>
            </w:pPr>
            <w:r w:rsidRPr="00781CE0">
              <w:rPr>
                <w:sz w:val="16"/>
                <w:szCs w:val="16"/>
              </w:rPr>
              <w:t>Прочие межбюджетные трансферты, передаваемые бюджетам муниципальных округов</w:t>
            </w:r>
          </w:p>
        </w:tc>
        <w:tc>
          <w:tcPr>
            <w:tcW w:w="683"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090</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3"/>
              <w:rPr>
                <w:sz w:val="16"/>
                <w:szCs w:val="16"/>
              </w:rPr>
            </w:pPr>
            <w:r w:rsidRPr="00781CE0">
              <w:rPr>
                <w:sz w:val="16"/>
                <w:szCs w:val="16"/>
              </w:rPr>
              <w:t>20249999140000150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64 303,4</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8 000,0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6"/>
                <w:szCs w:val="16"/>
              </w:rPr>
            </w:pPr>
            <w:r w:rsidRPr="00781CE0">
              <w:rPr>
                <w:sz w:val="16"/>
                <w:szCs w:val="16"/>
              </w:rPr>
              <w:t>72 303,4</w:t>
            </w:r>
          </w:p>
        </w:tc>
      </w:tr>
      <w:tr w:rsidR="0050630E" w:rsidRPr="00781CE0" w:rsidTr="0050630E">
        <w:trPr>
          <w:trHeight w:val="348"/>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4"/>
              <w:rPr>
                <w:sz w:val="14"/>
                <w:szCs w:val="14"/>
              </w:rPr>
            </w:pPr>
            <w:r w:rsidRPr="00781CE0">
              <w:rPr>
                <w:sz w:val="14"/>
                <w:szCs w:val="14"/>
              </w:rPr>
              <w:t>25-Р030-0000-00000</w:t>
            </w:r>
            <w:proofErr w:type="gramStart"/>
            <w:r w:rsidRPr="00781CE0">
              <w:rPr>
                <w:sz w:val="14"/>
                <w:szCs w:val="14"/>
              </w:rPr>
              <w:t xml:space="preserve"> И</w:t>
            </w:r>
            <w:proofErr w:type="gramEnd"/>
            <w:r w:rsidRPr="00781CE0">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8 000,0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4"/>
              <w:rPr>
                <w:sz w:val="14"/>
                <w:szCs w:val="14"/>
              </w:rPr>
            </w:pPr>
            <w:r w:rsidRPr="00781CE0">
              <w:rPr>
                <w:sz w:val="14"/>
                <w:szCs w:val="14"/>
              </w:rPr>
              <w:t>8 000,0</w:t>
            </w:r>
          </w:p>
        </w:tc>
      </w:tr>
      <w:tr w:rsidR="0050630E" w:rsidRPr="00781CE0" w:rsidTr="0050630E">
        <w:trPr>
          <w:trHeight w:val="426"/>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0"/>
              <w:rPr>
                <w:sz w:val="18"/>
                <w:szCs w:val="18"/>
              </w:rPr>
            </w:pPr>
            <w:r w:rsidRPr="00781CE0">
              <w:rPr>
                <w:sz w:val="18"/>
                <w:szCs w:val="18"/>
              </w:rPr>
              <w:t>ВОЗВРАТ ОСТАТКОВ СУБСИДИЙ, СУБВЕНЦИЙ И ИНЫХ МЕЖБЮДЖЕТНЫХ ТРАНСФЕРТОВ, ИМЕЮЩИХ ЦЕЛЕВОЕ НАЗНАЧЕНИЕ, ПРОШЛЫХ ЛЕТ</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0"/>
              <w:rPr>
                <w:sz w:val="18"/>
                <w:szCs w:val="18"/>
              </w:rPr>
            </w:pPr>
            <w:r w:rsidRPr="00781CE0">
              <w:rPr>
                <w:sz w:val="18"/>
                <w:szCs w:val="18"/>
              </w:rPr>
              <w:t>21900000000000000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0"/>
              <w:rPr>
                <w:i/>
                <w:iCs/>
                <w:sz w:val="18"/>
                <w:szCs w:val="18"/>
              </w:rPr>
            </w:pPr>
            <w:r w:rsidRPr="00781CE0">
              <w:rPr>
                <w:i/>
                <w:iCs/>
                <w:sz w:val="18"/>
                <w:szCs w:val="18"/>
              </w:rPr>
              <w:t>-1 533,6</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0"/>
              <w:rPr>
                <w:i/>
                <w:iCs/>
                <w:sz w:val="18"/>
                <w:szCs w:val="18"/>
              </w:rPr>
            </w:pPr>
            <w:r w:rsidRPr="00781CE0">
              <w:rPr>
                <w:i/>
                <w:iCs/>
                <w:sz w:val="18"/>
                <w:szCs w:val="18"/>
              </w:rPr>
              <w:t>919,9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0"/>
              <w:rPr>
                <w:i/>
                <w:iCs/>
                <w:sz w:val="18"/>
                <w:szCs w:val="18"/>
              </w:rPr>
            </w:pPr>
            <w:r w:rsidRPr="00781CE0">
              <w:rPr>
                <w:i/>
                <w:iCs/>
                <w:sz w:val="18"/>
                <w:szCs w:val="18"/>
              </w:rPr>
              <w:t>-613,7</w:t>
            </w:r>
          </w:p>
        </w:tc>
      </w:tr>
      <w:tr w:rsidR="0050630E" w:rsidRPr="00781CE0" w:rsidTr="0050630E">
        <w:trPr>
          <w:trHeight w:val="438"/>
        </w:trPr>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1"/>
              <w:rPr>
                <w:b/>
                <w:bCs/>
                <w:sz w:val="18"/>
                <w:szCs w:val="18"/>
              </w:rPr>
            </w:pPr>
            <w:r w:rsidRPr="00781CE0">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1"/>
              <w:rPr>
                <w:b/>
                <w:bCs/>
                <w:sz w:val="18"/>
                <w:szCs w:val="18"/>
              </w:rPr>
            </w:pPr>
            <w:r w:rsidRPr="00781CE0">
              <w:rPr>
                <w:b/>
                <w:bCs/>
                <w:sz w:val="18"/>
                <w:szCs w:val="18"/>
              </w:rPr>
              <w:t>21900000140000150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-1 533,6</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919,9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1"/>
              <w:rPr>
                <w:b/>
                <w:bCs/>
                <w:sz w:val="18"/>
                <w:szCs w:val="18"/>
              </w:rPr>
            </w:pPr>
            <w:r w:rsidRPr="00781CE0">
              <w:rPr>
                <w:b/>
                <w:bCs/>
                <w:sz w:val="18"/>
                <w:szCs w:val="18"/>
              </w:rPr>
              <w:t>-613,7</w:t>
            </w:r>
          </w:p>
        </w:tc>
      </w:tr>
      <w:tr w:rsidR="0050630E" w:rsidRPr="00781CE0" w:rsidTr="0050630E">
        <w:trPr>
          <w:trHeight w:val="16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2"/>
              <w:rPr>
                <w:sz w:val="16"/>
                <w:szCs w:val="16"/>
              </w:rPr>
            </w:pPr>
            <w:r w:rsidRPr="00781CE0">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83"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2"/>
              <w:rPr>
                <w:sz w:val="16"/>
                <w:szCs w:val="16"/>
              </w:rPr>
            </w:pPr>
            <w:r w:rsidRPr="00781CE0">
              <w:rPr>
                <w:sz w:val="16"/>
                <w:szCs w:val="16"/>
              </w:rPr>
              <w:t>090</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center"/>
              <w:outlineLvl w:val="2"/>
              <w:rPr>
                <w:sz w:val="16"/>
                <w:szCs w:val="16"/>
              </w:rPr>
            </w:pPr>
            <w:r w:rsidRPr="00781CE0">
              <w:rPr>
                <w:sz w:val="16"/>
                <w:szCs w:val="16"/>
              </w:rPr>
              <w:t>21960010140000150</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6"/>
                <w:szCs w:val="16"/>
              </w:rPr>
            </w:pPr>
            <w:r w:rsidRPr="00781CE0">
              <w:rPr>
                <w:sz w:val="16"/>
                <w:szCs w:val="16"/>
              </w:rPr>
              <w:t>-1 486,8</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6"/>
                <w:szCs w:val="16"/>
              </w:rPr>
            </w:pPr>
            <w:r w:rsidRPr="00781CE0">
              <w:rPr>
                <w:sz w:val="16"/>
                <w:szCs w:val="16"/>
              </w:rPr>
              <w:t>919,9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2"/>
              <w:rPr>
                <w:sz w:val="16"/>
                <w:szCs w:val="16"/>
              </w:rPr>
            </w:pPr>
            <w:r w:rsidRPr="00781CE0">
              <w:rPr>
                <w:sz w:val="16"/>
                <w:szCs w:val="16"/>
              </w:rPr>
              <w:t>-566,9</w:t>
            </w:r>
          </w:p>
        </w:tc>
      </w:tr>
      <w:tr w:rsidR="0050630E" w:rsidRPr="00781CE0" w:rsidTr="0050630E">
        <w:trPr>
          <w:trHeight w:val="378"/>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4"/>
                <w:szCs w:val="14"/>
              </w:rPr>
            </w:pPr>
            <w:r w:rsidRPr="00781CE0">
              <w:rPr>
                <w:sz w:val="14"/>
                <w:szCs w:val="14"/>
              </w:rPr>
              <w:lastRenderedPageBreak/>
              <w:t>7140.32</w:t>
            </w:r>
            <w:proofErr w:type="gramStart"/>
            <w:r w:rsidRPr="00781CE0">
              <w:rPr>
                <w:sz w:val="14"/>
                <w:szCs w:val="14"/>
              </w:rPr>
              <w:t xml:space="preserve"> И</w:t>
            </w:r>
            <w:proofErr w:type="gramEnd"/>
            <w:r w:rsidRPr="00781CE0">
              <w:rPr>
                <w:sz w:val="14"/>
                <w:szCs w:val="14"/>
              </w:rPr>
              <w:t>ные межбюджетные трансферты из резервного фонда Правительства АО (для бюджета Котласского муниципального округа на приобретение и установку окна в помещении, занимаемом ОО "</w:t>
            </w:r>
            <w:proofErr w:type="spellStart"/>
            <w:r w:rsidRPr="00781CE0">
              <w:rPr>
                <w:sz w:val="14"/>
                <w:szCs w:val="14"/>
              </w:rPr>
              <w:t>Котласская</w:t>
            </w:r>
            <w:proofErr w:type="spellEnd"/>
            <w:r w:rsidRPr="00781CE0">
              <w:rPr>
                <w:sz w:val="14"/>
                <w:szCs w:val="14"/>
              </w:rPr>
              <w:t xml:space="preserve"> районная местная организация пенсионеров, ветеранов войны и труда, Вооруженных сил и правоохранительных органов")</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-52,0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52,0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0,0</w:t>
            </w:r>
          </w:p>
        </w:tc>
      </w:tr>
      <w:tr w:rsidR="0050630E" w:rsidRPr="00781CE0" w:rsidTr="0050630E">
        <w:trPr>
          <w:trHeight w:val="147"/>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4"/>
                <w:szCs w:val="14"/>
              </w:rPr>
            </w:pPr>
            <w:r w:rsidRPr="00781CE0">
              <w:rPr>
                <w:sz w:val="14"/>
                <w:szCs w:val="14"/>
              </w:rPr>
              <w:t>7140.33</w:t>
            </w:r>
            <w:proofErr w:type="gramStart"/>
            <w:r w:rsidRPr="00781CE0">
              <w:rPr>
                <w:sz w:val="14"/>
                <w:szCs w:val="14"/>
              </w:rPr>
              <w:t xml:space="preserve"> И</w:t>
            </w:r>
            <w:proofErr w:type="gramEnd"/>
            <w:r w:rsidRPr="00781CE0">
              <w:rPr>
                <w:sz w:val="14"/>
                <w:szCs w:val="14"/>
              </w:rPr>
              <w:t xml:space="preserve">ные межбюджетные трансферты из резервного фонда Правительства АО (для МОУ </w:t>
            </w:r>
            <w:proofErr w:type="spellStart"/>
            <w:r w:rsidRPr="00781CE0">
              <w:rPr>
                <w:sz w:val="14"/>
                <w:szCs w:val="14"/>
              </w:rPr>
              <w:t>Савватиевская</w:t>
            </w:r>
            <w:proofErr w:type="spellEnd"/>
            <w:r w:rsidRPr="00781CE0">
              <w:rPr>
                <w:sz w:val="14"/>
                <w:szCs w:val="14"/>
              </w:rPr>
              <w:t xml:space="preserve"> СОШ на приобретение оконных блоков)</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-279,9</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279,9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0,0</w:t>
            </w:r>
          </w:p>
        </w:tc>
      </w:tr>
      <w:tr w:rsidR="0050630E" w:rsidRPr="00781CE0" w:rsidTr="0050630E">
        <w:trPr>
          <w:trHeight w:val="237"/>
        </w:trPr>
        <w:tc>
          <w:tcPr>
            <w:tcW w:w="622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0630E" w:rsidRPr="00781CE0" w:rsidRDefault="0050630E" w:rsidP="007E2A44">
            <w:pPr>
              <w:outlineLvl w:val="3"/>
              <w:rPr>
                <w:sz w:val="14"/>
                <w:szCs w:val="14"/>
              </w:rPr>
            </w:pPr>
            <w:r w:rsidRPr="00781CE0">
              <w:rPr>
                <w:sz w:val="14"/>
                <w:szCs w:val="14"/>
              </w:rPr>
              <w:t>7140.34</w:t>
            </w:r>
            <w:proofErr w:type="gramStart"/>
            <w:r w:rsidRPr="00781CE0">
              <w:rPr>
                <w:sz w:val="14"/>
                <w:szCs w:val="14"/>
              </w:rPr>
              <w:t xml:space="preserve"> И</w:t>
            </w:r>
            <w:proofErr w:type="gramEnd"/>
            <w:r w:rsidRPr="00781CE0">
              <w:rPr>
                <w:sz w:val="14"/>
                <w:szCs w:val="14"/>
              </w:rPr>
              <w:t>ные межбюджетные трансферты из резервного фонда Правительства АО (ремонт входной группы здания МОУ "</w:t>
            </w:r>
            <w:proofErr w:type="spellStart"/>
            <w:r w:rsidRPr="00781CE0">
              <w:rPr>
                <w:sz w:val="14"/>
                <w:szCs w:val="14"/>
              </w:rPr>
              <w:t>Удимская</w:t>
            </w:r>
            <w:proofErr w:type="spellEnd"/>
            <w:r w:rsidRPr="00781CE0">
              <w:rPr>
                <w:sz w:val="14"/>
                <w:szCs w:val="14"/>
              </w:rPr>
              <w:t xml:space="preserve"> СОШ № 1")</w:t>
            </w:r>
          </w:p>
        </w:tc>
        <w:tc>
          <w:tcPr>
            <w:tcW w:w="1160"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-588,0</w:t>
            </w:r>
          </w:p>
        </w:tc>
        <w:tc>
          <w:tcPr>
            <w:tcW w:w="1276" w:type="dxa"/>
            <w:tcBorders>
              <w:top w:val="nil"/>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588,0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0630E" w:rsidRPr="00781CE0" w:rsidRDefault="0050630E" w:rsidP="007E2A44">
            <w:pPr>
              <w:jc w:val="right"/>
              <w:outlineLvl w:val="3"/>
              <w:rPr>
                <w:sz w:val="14"/>
                <w:szCs w:val="14"/>
              </w:rPr>
            </w:pPr>
            <w:r w:rsidRPr="00781CE0">
              <w:rPr>
                <w:sz w:val="14"/>
                <w:szCs w:val="14"/>
              </w:rPr>
              <w:t>0,0</w:t>
            </w:r>
          </w:p>
        </w:tc>
      </w:tr>
    </w:tbl>
    <w:p w:rsidR="0050630E" w:rsidRDefault="0050630E" w:rsidP="00DF6BEA">
      <w:pPr>
        <w:jc w:val="center"/>
        <w:rPr>
          <w:i/>
          <w:sz w:val="26"/>
          <w:szCs w:val="26"/>
        </w:rPr>
      </w:pPr>
    </w:p>
    <w:p w:rsidR="00DF6BEA" w:rsidRPr="002E02C8" w:rsidRDefault="00DF6BEA" w:rsidP="007E2A44">
      <w:pPr>
        <w:jc w:val="center"/>
        <w:rPr>
          <w:i/>
          <w:sz w:val="26"/>
          <w:szCs w:val="26"/>
        </w:rPr>
      </w:pPr>
      <w:r w:rsidRPr="002E02C8">
        <w:rPr>
          <w:i/>
          <w:sz w:val="26"/>
          <w:szCs w:val="26"/>
        </w:rPr>
        <w:t xml:space="preserve">С учетом вносимых изменений доходная часть бюджета на 2025 год составит – </w:t>
      </w:r>
      <w:r w:rsidR="007E2A44" w:rsidRPr="002E02C8">
        <w:rPr>
          <w:i/>
          <w:sz w:val="26"/>
          <w:szCs w:val="26"/>
        </w:rPr>
        <w:t>1 227 546,7</w:t>
      </w:r>
      <w:r w:rsidRPr="002E02C8">
        <w:rPr>
          <w:i/>
          <w:sz w:val="26"/>
          <w:szCs w:val="26"/>
        </w:rPr>
        <w:t xml:space="preserve">  тыс. рублей.</w:t>
      </w:r>
      <w:r w:rsidRPr="002E02C8">
        <w:rPr>
          <w:bCs/>
          <w:i/>
          <w:sz w:val="26"/>
          <w:szCs w:val="26"/>
        </w:rPr>
        <w:t xml:space="preserve"> </w:t>
      </w:r>
    </w:p>
    <w:p w:rsidR="002E02C8" w:rsidRPr="002E02C8" w:rsidRDefault="002E02C8" w:rsidP="002E02C8">
      <w:pPr>
        <w:jc w:val="center"/>
      </w:pPr>
      <w:r w:rsidRPr="002E02C8">
        <w:rPr>
          <w:i/>
          <w:sz w:val="28"/>
          <w:szCs w:val="28"/>
        </w:rPr>
        <w:t>Доходная часть бюджета на 2026–2027 годы без изменений.</w:t>
      </w:r>
    </w:p>
    <w:p w:rsidR="003B18D9" w:rsidRPr="007E581E" w:rsidRDefault="003B18D9" w:rsidP="003B18D9">
      <w:pPr>
        <w:jc w:val="center"/>
        <w:rPr>
          <w:b/>
          <w:i/>
          <w:sz w:val="26"/>
          <w:szCs w:val="26"/>
        </w:rPr>
      </w:pPr>
    </w:p>
    <w:p w:rsidR="003B18D9" w:rsidRPr="007E581E" w:rsidRDefault="003B18D9" w:rsidP="003B18D9">
      <w:pPr>
        <w:ind w:left="180" w:firstLine="540"/>
        <w:jc w:val="center"/>
        <w:rPr>
          <w:b/>
          <w:sz w:val="26"/>
          <w:szCs w:val="26"/>
        </w:rPr>
      </w:pPr>
      <w:r w:rsidRPr="007E581E">
        <w:rPr>
          <w:b/>
          <w:sz w:val="26"/>
          <w:szCs w:val="26"/>
        </w:rPr>
        <w:t>В части расходов предлагается</w:t>
      </w:r>
    </w:p>
    <w:p w:rsidR="003B18D9" w:rsidRPr="007E581E" w:rsidRDefault="003B18D9" w:rsidP="003B18D9">
      <w:pPr>
        <w:jc w:val="center"/>
        <w:rPr>
          <w:b/>
          <w:bCs/>
          <w:i/>
          <w:sz w:val="26"/>
          <w:szCs w:val="26"/>
        </w:rPr>
      </w:pPr>
    </w:p>
    <w:p w:rsidR="003B18D9" w:rsidRPr="003D30ED" w:rsidRDefault="0072044E" w:rsidP="003B18D9">
      <w:pPr>
        <w:ind w:firstLine="709"/>
        <w:jc w:val="both"/>
        <w:rPr>
          <w:b/>
          <w:sz w:val="26"/>
          <w:szCs w:val="26"/>
        </w:rPr>
      </w:pPr>
      <w:r>
        <w:rPr>
          <w:b/>
          <w:sz w:val="26"/>
          <w:szCs w:val="26"/>
        </w:rPr>
        <w:t>3</w:t>
      </w:r>
      <w:r w:rsidR="005A223F">
        <w:rPr>
          <w:b/>
          <w:sz w:val="26"/>
          <w:szCs w:val="26"/>
        </w:rPr>
        <w:t xml:space="preserve">) В части расходов на 2025 </w:t>
      </w:r>
      <w:r w:rsidR="003B18D9" w:rsidRPr="003D30ED">
        <w:rPr>
          <w:b/>
          <w:sz w:val="26"/>
          <w:szCs w:val="26"/>
        </w:rPr>
        <w:t xml:space="preserve">предлагаются следующие изменения </w:t>
      </w:r>
      <w:proofErr w:type="gramStart"/>
      <w:r w:rsidR="003B18D9" w:rsidRPr="003D30ED">
        <w:rPr>
          <w:b/>
          <w:sz w:val="26"/>
          <w:szCs w:val="26"/>
        </w:rPr>
        <w:t>согласно</w:t>
      </w:r>
      <w:proofErr w:type="gramEnd"/>
      <w:r w:rsidR="003B18D9" w:rsidRPr="003D30ED">
        <w:rPr>
          <w:b/>
          <w:sz w:val="26"/>
          <w:szCs w:val="26"/>
        </w:rPr>
        <w:t xml:space="preserve"> представленн</w:t>
      </w:r>
      <w:r w:rsidR="005A223F">
        <w:rPr>
          <w:b/>
          <w:sz w:val="26"/>
          <w:szCs w:val="26"/>
        </w:rPr>
        <w:t>ой</w:t>
      </w:r>
      <w:r w:rsidR="003B18D9" w:rsidRPr="003D30ED">
        <w:rPr>
          <w:b/>
          <w:sz w:val="26"/>
          <w:szCs w:val="26"/>
        </w:rPr>
        <w:t xml:space="preserve"> таблиц</w:t>
      </w:r>
      <w:r w:rsidR="005A223F">
        <w:rPr>
          <w:b/>
          <w:sz w:val="26"/>
          <w:szCs w:val="26"/>
        </w:rPr>
        <w:t>ы №1</w:t>
      </w:r>
      <w:r w:rsidR="003B18D9" w:rsidRPr="003D30ED">
        <w:rPr>
          <w:b/>
          <w:sz w:val="26"/>
          <w:szCs w:val="26"/>
        </w:rPr>
        <w:t xml:space="preserve">. </w:t>
      </w:r>
    </w:p>
    <w:p w:rsidR="00B84F6D" w:rsidRDefault="00B84F6D" w:rsidP="00B84F6D">
      <w:pPr>
        <w:jc w:val="center"/>
        <w:rPr>
          <w:b/>
          <w:i/>
          <w:sz w:val="26"/>
          <w:szCs w:val="26"/>
        </w:rPr>
      </w:pPr>
    </w:p>
    <w:p w:rsidR="00CC30BD" w:rsidRPr="002E02C8" w:rsidRDefault="00CC30BD" w:rsidP="00CC30BD">
      <w:pPr>
        <w:jc w:val="center"/>
        <w:rPr>
          <w:i/>
          <w:sz w:val="26"/>
          <w:szCs w:val="26"/>
        </w:rPr>
      </w:pPr>
      <w:r w:rsidRPr="002E02C8">
        <w:rPr>
          <w:i/>
          <w:sz w:val="26"/>
          <w:szCs w:val="26"/>
        </w:rPr>
        <w:t xml:space="preserve">С учетом вносимых изменений расходная часть бюджета  на 2025 год составит – </w:t>
      </w:r>
      <w:r w:rsidR="00C85546" w:rsidRPr="002E02C8">
        <w:rPr>
          <w:i/>
          <w:sz w:val="26"/>
          <w:szCs w:val="26"/>
        </w:rPr>
        <w:t>1 291 180,2</w:t>
      </w:r>
      <w:r w:rsidRPr="002E02C8">
        <w:rPr>
          <w:i/>
          <w:sz w:val="26"/>
          <w:szCs w:val="26"/>
        </w:rPr>
        <w:t xml:space="preserve"> тыс. рублей.</w:t>
      </w:r>
      <w:r w:rsidRPr="002E02C8">
        <w:rPr>
          <w:bCs/>
          <w:i/>
          <w:sz w:val="26"/>
          <w:szCs w:val="26"/>
        </w:rPr>
        <w:t xml:space="preserve"> </w:t>
      </w:r>
    </w:p>
    <w:p w:rsidR="002E02C8" w:rsidRPr="00AA6646" w:rsidRDefault="002E02C8" w:rsidP="002E02C8">
      <w:pPr>
        <w:jc w:val="center"/>
        <w:rPr>
          <w:b/>
        </w:rPr>
      </w:pPr>
      <w:r>
        <w:rPr>
          <w:i/>
          <w:sz w:val="28"/>
          <w:szCs w:val="28"/>
        </w:rPr>
        <w:t>Расходная</w:t>
      </w:r>
      <w:r w:rsidRPr="00003678">
        <w:rPr>
          <w:i/>
          <w:sz w:val="28"/>
          <w:szCs w:val="28"/>
        </w:rPr>
        <w:t xml:space="preserve"> часть бюджета на 202</w:t>
      </w:r>
      <w:r>
        <w:rPr>
          <w:i/>
          <w:sz w:val="28"/>
          <w:szCs w:val="28"/>
        </w:rPr>
        <w:t>6–</w:t>
      </w:r>
      <w:r w:rsidRPr="00003678">
        <w:rPr>
          <w:i/>
          <w:sz w:val="28"/>
          <w:szCs w:val="28"/>
        </w:rPr>
        <w:t>202</w:t>
      </w:r>
      <w:r>
        <w:rPr>
          <w:i/>
          <w:sz w:val="28"/>
          <w:szCs w:val="28"/>
        </w:rPr>
        <w:t>7</w:t>
      </w:r>
      <w:r w:rsidRPr="00003678">
        <w:rPr>
          <w:i/>
          <w:sz w:val="28"/>
          <w:szCs w:val="28"/>
        </w:rPr>
        <w:t xml:space="preserve"> год</w:t>
      </w:r>
      <w:r>
        <w:rPr>
          <w:i/>
          <w:sz w:val="28"/>
          <w:szCs w:val="28"/>
        </w:rPr>
        <w:t>ы</w:t>
      </w:r>
      <w:r w:rsidRPr="00003678">
        <w:rPr>
          <w:i/>
          <w:sz w:val="28"/>
          <w:szCs w:val="28"/>
        </w:rPr>
        <w:t xml:space="preserve"> без изменений</w:t>
      </w:r>
      <w:r>
        <w:rPr>
          <w:i/>
          <w:sz w:val="28"/>
          <w:szCs w:val="28"/>
        </w:rPr>
        <w:t>.</w:t>
      </w:r>
    </w:p>
    <w:p w:rsidR="00CC30BD" w:rsidRDefault="00CC30BD" w:rsidP="00000B59">
      <w:pPr>
        <w:jc w:val="center"/>
        <w:rPr>
          <w:i/>
          <w:sz w:val="26"/>
          <w:szCs w:val="26"/>
        </w:rPr>
      </w:pPr>
    </w:p>
    <w:p w:rsidR="003B18D9" w:rsidRDefault="0063176D" w:rsidP="00CC30BD">
      <w:pPr>
        <w:jc w:val="center"/>
        <w:rPr>
          <w:b/>
          <w:sz w:val="26"/>
          <w:szCs w:val="26"/>
        </w:rPr>
      </w:pPr>
      <w:r>
        <w:rPr>
          <w:i/>
          <w:sz w:val="26"/>
          <w:szCs w:val="26"/>
        </w:rPr>
        <w:t xml:space="preserve"> </w:t>
      </w:r>
      <w:r w:rsidR="003B18D9" w:rsidRPr="007E581E">
        <w:rPr>
          <w:b/>
          <w:sz w:val="26"/>
          <w:szCs w:val="26"/>
        </w:rPr>
        <w:t>Финансовый результат бюджета</w:t>
      </w:r>
    </w:p>
    <w:p w:rsidR="00005D85" w:rsidRPr="007E581E" w:rsidRDefault="00005D85" w:rsidP="00CC30BD">
      <w:pPr>
        <w:jc w:val="center"/>
        <w:rPr>
          <w:b/>
          <w:sz w:val="26"/>
          <w:szCs w:val="26"/>
        </w:rPr>
      </w:pPr>
    </w:p>
    <w:p w:rsidR="00005D85" w:rsidRPr="00BE5C9E" w:rsidRDefault="00005D85" w:rsidP="00005D85">
      <w:pPr>
        <w:spacing w:line="276" w:lineRule="auto"/>
        <w:ind w:firstLine="708"/>
        <w:jc w:val="both"/>
        <w:rPr>
          <w:sz w:val="28"/>
          <w:szCs w:val="28"/>
        </w:rPr>
      </w:pPr>
      <w:r w:rsidRPr="00BE5C9E">
        <w:rPr>
          <w:sz w:val="28"/>
          <w:szCs w:val="28"/>
        </w:rPr>
        <w:t>Предлагаемые изменения в Решение о бюджете не изменят, принятый размер дефицита бюджета на 202</w:t>
      </w:r>
      <w:r>
        <w:rPr>
          <w:sz w:val="28"/>
          <w:szCs w:val="28"/>
        </w:rPr>
        <w:t>5</w:t>
      </w:r>
      <w:r w:rsidRPr="00BE5C9E">
        <w:rPr>
          <w:sz w:val="28"/>
          <w:szCs w:val="28"/>
        </w:rPr>
        <w:t xml:space="preserve"> год, он остается в сумме </w:t>
      </w:r>
      <w:r>
        <w:rPr>
          <w:sz w:val="28"/>
          <w:szCs w:val="28"/>
        </w:rPr>
        <w:t>63 633,5</w:t>
      </w:r>
      <w:r w:rsidRPr="00BE5C9E">
        <w:rPr>
          <w:sz w:val="28"/>
          <w:szCs w:val="28"/>
        </w:rPr>
        <w:t xml:space="preserve"> тыс. рублей. </w:t>
      </w:r>
    </w:p>
    <w:p w:rsidR="003B18D9" w:rsidRPr="007E581E" w:rsidRDefault="003B18D9" w:rsidP="003B18D9">
      <w:pPr>
        <w:ind w:left="180" w:firstLine="540"/>
        <w:jc w:val="both"/>
        <w:rPr>
          <w:sz w:val="26"/>
          <w:szCs w:val="26"/>
        </w:rPr>
      </w:pPr>
    </w:p>
    <w:p w:rsidR="003B18D9" w:rsidRPr="007E581E" w:rsidRDefault="0072044E" w:rsidP="003B18D9">
      <w:pPr>
        <w:spacing w:line="276" w:lineRule="auto"/>
        <w:ind w:firstLine="709"/>
        <w:contextualSpacing/>
        <w:jc w:val="both"/>
        <w:outlineLvl w:val="0"/>
        <w:rPr>
          <w:b/>
          <w:sz w:val="26"/>
          <w:szCs w:val="26"/>
        </w:rPr>
      </w:pPr>
      <w:r>
        <w:rPr>
          <w:b/>
          <w:sz w:val="26"/>
          <w:szCs w:val="26"/>
        </w:rPr>
        <w:t>4</w:t>
      </w:r>
      <w:r w:rsidR="003B18D9" w:rsidRPr="007E581E">
        <w:rPr>
          <w:b/>
          <w:sz w:val="26"/>
          <w:szCs w:val="26"/>
        </w:rPr>
        <w:t>) Итоговые изменения отразятся в решении о бюджете на 202</w:t>
      </w:r>
      <w:r w:rsidR="009A7E57" w:rsidRPr="007E581E">
        <w:rPr>
          <w:b/>
          <w:sz w:val="26"/>
          <w:szCs w:val="26"/>
        </w:rPr>
        <w:t>5</w:t>
      </w:r>
      <w:r w:rsidR="003B18D9" w:rsidRPr="007E581E">
        <w:rPr>
          <w:b/>
          <w:sz w:val="26"/>
          <w:szCs w:val="26"/>
        </w:rPr>
        <w:t xml:space="preserve"> год и на плановый период 202</w:t>
      </w:r>
      <w:r w:rsidR="009A7E57" w:rsidRPr="007E581E">
        <w:rPr>
          <w:b/>
          <w:sz w:val="26"/>
          <w:szCs w:val="26"/>
        </w:rPr>
        <w:t>6</w:t>
      </w:r>
      <w:r w:rsidR="003B18D9" w:rsidRPr="007E581E">
        <w:rPr>
          <w:b/>
          <w:sz w:val="26"/>
          <w:szCs w:val="26"/>
        </w:rPr>
        <w:t xml:space="preserve"> и 202</w:t>
      </w:r>
      <w:r w:rsidR="009A7E57" w:rsidRPr="007E581E">
        <w:rPr>
          <w:b/>
          <w:sz w:val="26"/>
          <w:szCs w:val="26"/>
        </w:rPr>
        <w:t>7</w:t>
      </w:r>
      <w:r w:rsidR="003B18D9" w:rsidRPr="007E581E">
        <w:rPr>
          <w:b/>
          <w:sz w:val="26"/>
          <w:szCs w:val="26"/>
        </w:rPr>
        <w:t xml:space="preserve"> годов в приложениях:</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1) Приложение № 2 «Прогнозируемое поступление доходов </w:t>
      </w:r>
      <w:r w:rsidRPr="007E581E">
        <w:rPr>
          <w:snapToGrid w:val="0"/>
          <w:sz w:val="26"/>
          <w:szCs w:val="26"/>
        </w:rPr>
        <w:t xml:space="preserve">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2) Приложение № 3 «</w:t>
      </w:r>
      <w:r w:rsidRPr="007E581E">
        <w:rPr>
          <w:bCs/>
          <w:sz w:val="26"/>
          <w:szCs w:val="26"/>
        </w:rPr>
        <w:t xml:space="preserve">Источники финансирования дефицита 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w:t>
      </w:r>
      <w:proofErr w:type="gramStart"/>
      <w:r w:rsidRPr="007E581E">
        <w:rPr>
          <w:sz w:val="26"/>
          <w:szCs w:val="26"/>
        </w:rPr>
        <w:t>видов расходов классификации расходов бюджетов</w:t>
      </w:r>
      <w:proofErr w:type="gramEnd"/>
      <w:r w:rsidRPr="007E581E">
        <w:rPr>
          <w:sz w:val="26"/>
          <w:szCs w:val="26"/>
        </w:rPr>
        <w:t xml:space="preserve">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7E581E">
        <w:rPr>
          <w:bCs/>
          <w:sz w:val="26"/>
          <w:szCs w:val="26"/>
        </w:rPr>
        <w:t xml:space="preserve"> </w:t>
      </w:r>
      <w:r w:rsidRPr="007E581E">
        <w:rPr>
          <w:sz w:val="26"/>
          <w:szCs w:val="26"/>
        </w:rPr>
        <w:t>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EC4D7C" w:rsidRPr="007E581E" w:rsidRDefault="003B18D9" w:rsidP="00EA0229">
      <w:pPr>
        <w:autoSpaceDE w:val="0"/>
        <w:autoSpaceDN w:val="0"/>
        <w:adjustRightInd w:val="0"/>
        <w:spacing w:line="276" w:lineRule="auto"/>
        <w:ind w:firstLine="709"/>
        <w:jc w:val="both"/>
        <w:rPr>
          <w:sz w:val="26"/>
          <w:szCs w:val="26"/>
        </w:rPr>
      </w:pPr>
      <w:proofErr w:type="gramStart"/>
      <w:r w:rsidRPr="007E581E">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видов расходов классификации расходов бюджетов (ведомственная структура расходов бюджета Котласского муниципального округа Архангельской области)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00EA0229">
        <w:rPr>
          <w:sz w:val="26"/>
          <w:szCs w:val="26"/>
        </w:rPr>
        <w:t xml:space="preserve"> годов».</w:t>
      </w:r>
      <w:proofErr w:type="gramEnd"/>
    </w:p>
    <w:sectPr w:rsidR="00EC4D7C" w:rsidRPr="007E581E" w:rsidSect="00DB0868">
      <w:pgSz w:w="11906" w:h="16838" w:code="9"/>
      <w:pgMar w:top="568" w:right="849" w:bottom="851"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5D85"/>
    <w:rsid w:val="00006E38"/>
    <w:rsid w:val="00007AA6"/>
    <w:rsid w:val="000106A5"/>
    <w:rsid w:val="000106C6"/>
    <w:rsid w:val="00010DD1"/>
    <w:rsid w:val="00011362"/>
    <w:rsid w:val="00013B8C"/>
    <w:rsid w:val="00013E59"/>
    <w:rsid w:val="00014059"/>
    <w:rsid w:val="0001591A"/>
    <w:rsid w:val="00017D14"/>
    <w:rsid w:val="000204DB"/>
    <w:rsid w:val="00021A4C"/>
    <w:rsid w:val="00023931"/>
    <w:rsid w:val="00024857"/>
    <w:rsid w:val="00024D26"/>
    <w:rsid w:val="00025175"/>
    <w:rsid w:val="00026928"/>
    <w:rsid w:val="00030FF2"/>
    <w:rsid w:val="000325BB"/>
    <w:rsid w:val="00032ACB"/>
    <w:rsid w:val="00033765"/>
    <w:rsid w:val="00033AA7"/>
    <w:rsid w:val="0003430C"/>
    <w:rsid w:val="000364F9"/>
    <w:rsid w:val="00044AE8"/>
    <w:rsid w:val="00047236"/>
    <w:rsid w:val="00053985"/>
    <w:rsid w:val="00053CD6"/>
    <w:rsid w:val="00054154"/>
    <w:rsid w:val="00054852"/>
    <w:rsid w:val="00054A22"/>
    <w:rsid w:val="0005756A"/>
    <w:rsid w:val="00061221"/>
    <w:rsid w:val="00064993"/>
    <w:rsid w:val="00065BDB"/>
    <w:rsid w:val="00066194"/>
    <w:rsid w:val="0006704E"/>
    <w:rsid w:val="00072088"/>
    <w:rsid w:val="000726EA"/>
    <w:rsid w:val="00073A24"/>
    <w:rsid w:val="00073DB3"/>
    <w:rsid w:val="000758AE"/>
    <w:rsid w:val="00077A92"/>
    <w:rsid w:val="00081A6C"/>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5518"/>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4F33"/>
    <w:rsid w:val="001077F4"/>
    <w:rsid w:val="001107D3"/>
    <w:rsid w:val="001118BC"/>
    <w:rsid w:val="0011259A"/>
    <w:rsid w:val="00114397"/>
    <w:rsid w:val="00115A4C"/>
    <w:rsid w:val="00115D88"/>
    <w:rsid w:val="001162A9"/>
    <w:rsid w:val="001169D1"/>
    <w:rsid w:val="001172DD"/>
    <w:rsid w:val="00122B95"/>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E6"/>
    <w:rsid w:val="001668DF"/>
    <w:rsid w:val="0016695F"/>
    <w:rsid w:val="00166C1B"/>
    <w:rsid w:val="00167107"/>
    <w:rsid w:val="00167683"/>
    <w:rsid w:val="001706FF"/>
    <w:rsid w:val="00171165"/>
    <w:rsid w:val="00171267"/>
    <w:rsid w:val="001714F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209E"/>
    <w:rsid w:val="0019293B"/>
    <w:rsid w:val="00193DB9"/>
    <w:rsid w:val="001947DD"/>
    <w:rsid w:val="00196437"/>
    <w:rsid w:val="00196C12"/>
    <w:rsid w:val="001A232E"/>
    <w:rsid w:val="001A27DB"/>
    <w:rsid w:val="001A2EEF"/>
    <w:rsid w:val="001A2F01"/>
    <w:rsid w:val="001A3DF6"/>
    <w:rsid w:val="001A497F"/>
    <w:rsid w:val="001A4AF4"/>
    <w:rsid w:val="001A6A8E"/>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E003D"/>
    <w:rsid w:val="001E1798"/>
    <w:rsid w:val="001E2DC3"/>
    <w:rsid w:val="001E3539"/>
    <w:rsid w:val="001E361F"/>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3D0E"/>
    <w:rsid w:val="002142C6"/>
    <w:rsid w:val="00216EAE"/>
    <w:rsid w:val="002171A0"/>
    <w:rsid w:val="002206EF"/>
    <w:rsid w:val="00220A83"/>
    <w:rsid w:val="00221931"/>
    <w:rsid w:val="00221DEB"/>
    <w:rsid w:val="00221E30"/>
    <w:rsid w:val="00223941"/>
    <w:rsid w:val="00224B73"/>
    <w:rsid w:val="00224E39"/>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0722"/>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90496"/>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A7A"/>
    <w:rsid w:val="002C6700"/>
    <w:rsid w:val="002C7A64"/>
    <w:rsid w:val="002C7FF3"/>
    <w:rsid w:val="002D003C"/>
    <w:rsid w:val="002D1A85"/>
    <w:rsid w:val="002D27DC"/>
    <w:rsid w:val="002D39AE"/>
    <w:rsid w:val="002D3F0D"/>
    <w:rsid w:val="002D5A80"/>
    <w:rsid w:val="002D66B8"/>
    <w:rsid w:val="002D6CAB"/>
    <w:rsid w:val="002D7935"/>
    <w:rsid w:val="002E02C8"/>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632F"/>
    <w:rsid w:val="003A0102"/>
    <w:rsid w:val="003A0426"/>
    <w:rsid w:val="003A04D1"/>
    <w:rsid w:val="003A0E24"/>
    <w:rsid w:val="003A2C39"/>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6FC"/>
    <w:rsid w:val="003F7805"/>
    <w:rsid w:val="004019BB"/>
    <w:rsid w:val="00401B8F"/>
    <w:rsid w:val="004039EF"/>
    <w:rsid w:val="0040543F"/>
    <w:rsid w:val="00405566"/>
    <w:rsid w:val="004058E8"/>
    <w:rsid w:val="00406A96"/>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2014"/>
    <w:rsid w:val="004628A1"/>
    <w:rsid w:val="00462BA2"/>
    <w:rsid w:val="00463108"/>
    <w:rsid w:val="00464900"/>
    <w:rsid w:val="004655DA"/>
    <w:rsid w:val="00466F8B"/>
    <w:rsid w:val="00471037"/>
    <w:rsid w:val="004715CA"/>
    <w:rsid w:val="004717FD"/>
    <w:rsid w:val="00471A6C"/>
    <w:rsid w:val="00471BB9"/>
    <w:rsid w:val="00475F4F"/>
    <w:rsid w:val="00476125"/>
    <w:rsid w:val="00476803"/>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59D1"/>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500BCD"/>
    <w:rsid w:val="005010B8"/>
    <w:rsid w:val="005016E8"/>
    <w:rsid w:val="00503B46"/>
    <w:rsid w:val="00503D0D"/>
    <w:rsid w:val="00504D5E"/>
    <w:rsid w:val="00505072"/>
    <w:rsid w:val="005057D8"/>
    <w:rsid w:val="00505ABB"/>
    <w:rsid w:val="0050630E"/>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6C27"/>
    <w:rsid w:val="0054705D"/>
    <w:rsid w:val="00547716"/>
    <w:rsid w:val="00551996"/>
    <w:rsid w:val="00556C21"/>
    <w:rsid w:val="005601FE"/>
    <w:rsid w:val="00560A0B"/>
    <w:rsid w:val="00561166"/>
    <w:rsid w:val="0056255C"/>
    <w:rsid w:val="00563094"/>
    <w:rsid w:val="00563770"/>
    <w:rsid w:val="00563A54"/>
    <w:rsid w:val="00564548"/>
    <w:rsid w:val="00566916"/>
    <w:rsid w:val="00566B96"/>
    <w:rsid w:val="00567D1F"/>
    <w:rsid w:val="00567E4C"/>
    <w:rsid w:val="00572EDF"/>
    <w:rsid w:val="0057552C"/>
    <w:rsid w:val="005755F8"/>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62F"/>
    <w:rsid w:val="00593B7F"/>
    <w:rsid w:val="005945B0"/>
    <w:rsid w:val="0059479B"/>
    <w:rsid w:val="005960C6"/>
    <w:rsid w:val="0059779A"/>
    <w:rsid w:val="005A223F"/>
    <w:rsid w:val="005A2ED9"/>
    <w:rsid w:val="005A2F47"/>
    <w:rsid w:val="005A3B8B"/>
    <w:rsid w:val="005A69A3"/>
    <w:rsid w:val="005A713E"/>
    <w:rsid w:val="005A7ECE"/>
    <w:rsid w:val="005B04CB"/>
    <w:rsid w:val="005B139C"/>
    <w:rsid w:val="005B2887"/>
    <w:rsid w:val="005B2903"/>
    <w:rsid w:val="005B2F13"/>
    <w:rsid w:val="005B3016"/>
    <w:rsid w:val="005B3AA4"/>
    <w:rsid w:val="005B6B80"/>
    <w:rsid w:val="005B7AD2"/>
    <w:rsid w:val="005C16CF"/>
    <w:rsid w:val="005C2D8C"/>
    <w:rsid w:val="005C2E04"/>
    <w:rsid w:val="005C4307"/>
    <w:rsid w:val="005C6114"/>
    <w:rsid w:val="005C7B9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7252"/>
    <w:rsid w:val="005E7538"/>
    <w:rsid w:val="005F143F"/>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3A28"/>
    <w:rsid w:val="00683DD3"/>
    <w:rsid w:val="006840EB"/>
    <w:rsid w:val="0068543D"/>
    <w:rsid w:val="006866A5"/>
    <w:rsid w:val="00687A5C"/>
    <w:rsid w:val="00687F4A"/>
    <w:rsid w:val="00694291"/>
    <w:rsid w:val="00694DDE"/>
    <w:rsid w:val="00695FD0"/>
    <w:rsid w:val="00697673"/>
    <w:rsid w:val="00697EB8"/>
    <w:rsid w:val="006A090C"/>
    <w:rsid w:val="006A17B9"/>
    <w:rsid w:val="006A2372"/>
    <w:rsid w:val="006A270C"/>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42EB"/>
    <w:rsid w:val="00704EA7"/>
    <w:rsid w:val="00707813"/>
    <w:rsid w:val="0071165E"/>
    <w:rsid w:val="00711A6F"/>
    <w:rsid w:val="007122A0"/>
    <w:rsid w:val="00714A8F"/>
    <w:rsid w:val="00716F22"/>
    <w:rsid w:val="0071747C"/>
    <w:rsid w:val="00717CB1"/>
    <w:rsid w:val="00720053"/>
    <w:rsid w:val="0072044E"/>
    <w:rsid w:val="007214D8"/>
    <w:rsid w:val="00721DBF"/>
    <w:rsid w:val="007226E8"/>
    <w:rsid w:val="00723162"/>
    <w:rsid w:val="00724E0C"/>
    <w:rsid w:val="00724ECD"/>
    <w:rsid w:val="00730741"/>
    <w:rsid w:val="007317E6"/>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BDE"/>
    <w:rsid w:val="007566D8"/>
    <w:rsid w:val="00756AE0"/>
    <w:rsid w:val="00761A80"/>
    <w:rsid w:val="007623E7"/>
    <w:rsid w:val="0076313F"/>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922D5"/>
    <w:rsid w:val="00794112"/>
    <w:rsid w:val="00795840"/>
    <w:rsid w:val="007961ED"/>
    <w:rsid w:val="00796B4E"/>
    <w:rsid w:val="007A0EAD"/>
    <w:rsid w:val="007A2601"/>
    <w:rsid w:val="007A2C78"/>
    <w:rsid w:val="007A640C"/>
    <w:rsid w:val="007A6911"/>
    <w:rsid w:val="007A6F05"/>
    <w:rsid w:val="007A7610"/>
    <w:rsid w:val="007B0ACF"/>
    <w:rsid w:val="007B2BD4"/>
    <w:rsid w:val="007B2FF4"/>
    <w:rsid w:val="007B5EA4"/>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2A44"/>
    <w:rsid w:val="007E32DB"/>
    <w:rsid w:val="007E3D77"/>
    <w:rsid w:val="007E581E"/>
    <w:rsid w:val="007E6D67"/>
    <w:rsid w:val="007E77D8"/>
    <w:rsid w:val="007E7EB9"/>
    <w:rsid w:val="007F17FC"/>
    <w:rsid w:val="007F1B23"/>
    <w:rsid w:val="007F2FD6"/>
    <w:rsid w:val="007F5298"/>
    <w:rsid w:val="007F74AD"/>
    <w:rsid w:val="007F74C9"/>
    <w:rsid w:val="00800264"/>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51AE"/>
    <w:rsid w:val="00845528"/>
    <w:rsid w:val="0084740E"/>
    <w:rsid w:val="0085118A"/>
    <w:rsid w:val="00851F5A"/>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EE"/>
    <w:rsid w:val="00881FE0"/>
    <w:rsid w:val="0088382E"/>
    <w:rsid w:val="00885038"/>
    <w:rsid w:val="00885387"/>
    <w:rsid w:val="00890A3C"/>
    <w:rsid w:val="00890CA0"/>
    <w:rsid w:val="0089178B"/>
    <w:rsid w:val="00892C6A"/>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19EB"/>
    <w:rsid w:val="008E28DB"/>
    <w:rsid w:val="008E4D64"/>
    <w:rsid w:val="008E58B7"/>
    <w:rsid w:val="008E734B"/>
    <w:rsid w:val="008E77FF"/>
    <w:rsid w:val="008E7ACA"/>
    <w:rsid w:val="008F096B"/>
    <w:rsid w:val="008F1501"/>
    <w:rsid w:val="008F1EE9"/>
    <w:rsid w:val="008F3669"/>
    <w:rsid w:val="008F4EFD"/>
    <w:rsid w:val="008F5BD8"/>
    <w:rsid w:val="008F5F4D"/>
    <w:rsid w:val="008F6725"/>
    <w:rsid w:val="008F703B"/>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11B5"/>
    <w:rsid w:val="0092128C"/>
    <w:rsid w:val="00923107"/>
    <w:rsid w:val="0092672B"/>
    <w:rsid w:val="00926BE9"/>
    <w:rsid w:val="00927344"/>
    <w:rsid w:val="00927CC5"/>
    <w:rsid w:val="00930782"/>
    <w:rsid w:val="00930A39"/>
    <w:rsid w:val="009311FC"/>
    <w:rsid w:val="00932879"/>
    <w:rsid w:val="009330F6"/>
    <w:rsid w:val="0093312A"/>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900F2"/>
    <w:rsid w:val="00990549"/>
    <w:rsid w:val="00991181"/>
    <w:rsid w:val="009911AF"/>
    <w:rsid w:val="00991B24"/>
    <w:rsid w:val="00993AC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228C"/>
    <w:rsid w:val="009D282F"/>
    <w:rsid w:val="009D486D"/>
    <w:rsid w:val="009D4F17"/>
    <w:rsid w:val="009D70EA"/>
    <w:rsid w:val="009E1EC2"/>
    <w:rsid w:val="009E2F20"/>
    <w:rsid w:val="009E377B"/>
    <w:rsid w:val="009E4554"/>
    <w:rsid w:val="009E4767"/>
    <w:rsid w:val="009E5605"/>
    <w:rsid w:val="009E63B1"/>
    <w:rsid w:val="009F11FA"/>
    <w:rsid w:val="009F1936"/>
    <w:rsid w:val="009F7062"/>
    <w:rsid w:val="009F7379"/>
    <w:rsid w:val="009F7F2A"/>
    <w:rsid w:val="00A0157A"/>
    <w:rsid w:val="00A02025"/>
    <w:rsid w:val="00A03ECD"/>
    <w:rsid w:val="00A06FF2"/>
    <w:rsid w:val="00A07AD6"/>
    <w:rsid w:val="00A102BC"/>
    <w:rsid w:val="00A11301"/>
    <w:rsid w:val="00A113AE"/>
    <w:rsid w:val="00A11C59"/>
    <w:rsid w:val="00A12927"/>
    <w:rsid w:val="00A129F0"/>
    <w:rsid w:val="00A13701"/>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7CAF"/>
    <w:rsid w:val="00A77D55"/>
    <w:rsid w:val="00A814A4"/>
    <w:rsid w:val="00A85FFE"/>
    <w:rsid w:val="00A8751A"/>
    <w:rsid w:val="00A91F7B"/>
    <w:rsid w:val="00A92F90"/>
    <w:rsid w:val="00A932CA"/>
    <w:rsid w:val="00A95EE3"/>
    <w:rsid w:val="00A9710A"/>
    <w:rsid w:val="00AA3AB4"/>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2180"/>
    <w:rsid w:val="00AF4F29"/>
    <w:rsid w:val="00AF6616"/>
    <w:rsid w:val="00AF7E6D"/>
    <w:rsid w:val="00B00125"/>
    <w:rsid w:val="00B018B3"/>
    <w:rsid w:val="00B01BDD"/>
    <w:rsid w:val="00B01FED"/>
    <w:rsid w:val="00B02109"/>
    <w:rsid w:val="00B02AA3"/>
    <w:rsid w:val="00B03DAA"/>
    <w:rsid w:val="00B0725F"/>
    <w:rsid w:val="00B073B5"/>
    <w:rsid w:val="00B1130D"/>
    <w:rsid w:val="00B11A71"/>
    <w:rsid w:val="00B14506"/>
    <w:rsid w:val="00B145C9"/>
    <w:rsid w:val="00B15570"/>
    <w:rsid w:val="00B16C8C"/>
    <w:rsid w:val="00B2466C"/>
    <w:rsid w:val="00B25344"/>
    <w:rsid w:val="00B26DED"/>
    <w:rsid w:val="00B271B8"/>
    <w:rsid w:val="00B3390A"/>
    <w:rsid w:val="00B3550D"/>
    <w:rsid w:val="00B37761"/>
    <w:rsid w:val="00B405D1"/>
    <w:rsid w:val="00B40AB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426"/>
    <w:rsid w:val="00B75535"/>
    <w:rsid w:val="00B75F6E"/>
    <w:rsid w:val="00B76759"/>
    <w:rsid w:val="00B80974"/>
    <w:rsid w:val="00B8405A"/>
    <w:rsid w:val="00B84F6D"/>
    <w:rsid w:val="00B86ECF"/>
    <w:rsid w:val="00B87A02"/>
    <w:rsid w:val="00B90B4B"/>
    <w:rsid w:val="00B91388"/>
    <w:rsid w:val="00B942A2"/>
    <w:rsid w:val="00B9476A"/>
    <w:rsid w:val="00B95B12"/>
    <w:rsid w:val="00B95E3B"/>
    <w:rsid w:val="00B960F9"/>
    <w:rsid w:val="00B97EDD"/>
    <w:rsid w:val="00BA3302"/>
    <w:rsid w:val="00BA3628"/>
    <w:rsid w:val="00BA5171"/>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C0F"/>
    <w:rsid w:val="00BD16EB"/>
    <w:rsid w:val="00BD2279"/>
    <w:rsid w:val="00BD22E3"/>
    <w:rsid w:val="00BD2E76"/>
    <w:rsid w:val="00BD489A"/>
    <w:rsid w:val="00BD517D"/>
    <w:rsid w:val="00BD5CE0"/>
    <w:rsid w:val="00BD76C7"/>
    <w:rsid w:val="00BE1569"/>
    <w:rsid w:val="00BE1697"/>
    <w:rsid w:val="00BE1E3A"/>
    <w:rsid w:val="00BE2279"/>
    <w:rsid w:val="00BE3FD4"/>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6445"/>
    <w:rsid w:val="00C77285"/>
    <w:rsid w:val="00C776B9"/>
    <w:rsid w:val="00C804EF"/>
    <w:rsid w:val="00C81D86"/>
    <w:rsid w:val="00C8212C"/>
    <w:rsid w:val="00C8304E"/>
    <w:rsid w:val="00C83ED4"/>
    <w:rsid w:val="00C8403E"/>
    <w:rsid w:val="00C85546"/>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2104"/>
    <w:rsid w:val="00CB28C3"/>
    <w:rsid w:val="00CB4D72"/>
    <w:rsid w:val="00CB5678"/>
    <w:rsid w:val="00CB5D0E"/>
    <w:rsid w:val="00CB66C4"/>
    <w:rsid w:val="00CB6ABE"/>
    <w:rsid w:val="00CC181C"/>
    <w:rsid w:val="00CC2209"/>
    <w:rsid w:val="00CC2DC8"/>
    <w:rsid w:val="00CC30BD"/>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802"/>
    <w:rsid w:val="00D12B18"/>
    <w:rsid w:val="00D12BAD"/>
    <w:rsid w:val="00D143D3"/>
    <w:rsid w:val="00D155F2"/>
    <w:rsid w:val="00D15CED"/>
    <w:rsid w:val="00D16693"/>
    <w:rsid w:val="00D22026"/>
    <w:rsid w:val="00D22164"/>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40B4"/>
    <w:rsid w:val="00DB4F4B"/>
    <w:rsid w:val="00DB4F98"/>
    <w:rsid w:val="00DB51E4"/>
    <w:rsid w:val="00DB52BD"/>
    <w:rsid w:val="00DB55FC"/>
    <w:rsid w:val="00DB7545"/>
    <w:rsid w:val="00DB78C8"/>
    <w:rsid w:val="00DC097B"/>
    <w:rsid w:val="00DC37D7"/>
    <w:rsid w:val="00DC3DD1"/>
    <w:rsid w:val="00DC4CAC"/>
    <w:rsid w:val="00DC648B"/>
    <w:rsid w:val="00DC6561"/>
    <w:rsid w:val="00DD0974"/>
    <w:rsid w:val="00DD0EDB"/>
    <w:rsid w:val="00DD2761"/>
    <w:rsid w:val="00DD32B3"/>
    <w:rsid w:val="00DD333A"/>
    <w:rsid w:val="00DD4083"/>
    <w:rsid w:val="00DD6CD9"/>
    <w:rsid w:val="00DD705A"/>
    <w:rsid w:val="00DE3D2F"/>
    <w:rsid w:val="00DE3D33"/>
    <w:rsid w:val="00DE590F"/>
    <w:rsid w:val="00DE6BC7"/>
    <w:rsid w:val="00DF0A3B"/>
    <w:rsid w:val="00DF28D8"/>
    <w:rsid w:val="00DF2BDD"/>
    <w:rsid w:val="00DF57E8"/>
    <w:rsid w:val="00DF6BEA"/>
    <w:rsid w:val="00DF7E3A"/>
    <w:rsid w:val="00E02B89"/>
    <w:rsid w:val="00E02CD4"/>
    <w:rsid w:val="00E02E11"/>
    <w:rsid w:val="00E04330"/>
    <w:rsid w:val="00E06596"/>
    <w:rsid w:val="00E0732B"/>
    <w:rsid w:val="00E10D4B"/>
    <w:rsid w:val="00E1140A"/>
    <w:rsid w:val="00E11438"/>
    <w:rsid w:val="00E13F9D"/>
    <w:rsid w:val="00E14842"/>
    <w:rsid w:val="00E14956"/>
    <w:rsid w:val="00E14F9E"/>
    <w:rsid w:val="00E153E1"/>
    <w:rsid w:val="00E15DE2"/>
    <w:rsid w:val="00E15F99"/>
    <w:rsid w:val="00E167D4"/>
    <w:rsid w:val="00E17E9F"/>
    <w:rsid w:val="00E20143"/>
    <w:rsid w:val="00E203F4"/>
    <w:rsid w:val="00E20770"/>
    <w:rsid w:val="00E20FF5"/>
    <w:rsid w:val="00E214F3"/>
    <w:rsid w:val="00E22E66"/>
    <w:rsid w:val="00E2316E"/>
    <w:rsid w:val="00E23569"/>
    <w:rsid w:val="00E23EF2"/>
    <w:rsid w:val="00E24302"/>
    <w:rsid w:val="00E24DA0"/>
    <w:rsid w:val="00E2511F"/>
    <w:rsid w:val="00E25DDC"/>
    <w:rsid w:val="00E26E30"/>
    <w:rsid w:val="00E271E5"/>
    <w:rsid w:val="00E27518"/>
    <w:rsid w:val="00E27F2B"/>
    <w:rsid w:val="00E33907"/>
    <w:rsid w:val="00E3412F"/>
    <w:rsid w:val="00E34562"/>
    <w:rsid w:val="00E3506A"/>
    <w:rsid w:val="00E3592C"/>
    <w:rsid w:val="00E3616E"/>
    <w:rsid w:val="00E36BE1"/>
    <w:rsid w:val="00E402BF"/>
    <w:rsid w:val="00E422F5"/>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6011D"/>
    <w:rsid w:val="00E6107D"/>
    <w:rsid w:val="00E70394"/>
    <w:rsid w:val="00E717AD"/>
    <w:rsid w:val="00E7187E"/>
    <w:rsid w:val="00E75531"/>
    <w:rsid w:val="00E75AAB"/>
    <w:rsid w:val="00E80FCF"/>
    <w:rsid w:val="00E82328"/>
    <w:rsid w:val="00E82427"/>
    <w:rsid w:val="00E83CC6"/>
    <w:rsid w:val="00E8618A"/>
    <w:rsid w:val="00E90358"/>
    <w:rsid w:val="00E9199D"/>
    <w:rsid w:val="00E92CFF"/>
    <w:rsid w:val="00E932B2"/>
    <w:rsid w:val="00E943B2"/>
    <w:rsid w:val="00E964D7"/>
    <w:rsid w:val="00E96736"/>
    <w:rsid w:val="00EA0229"/>
    <w:rsid w:val="00EA2546"/>
    <w:rsid w:val="00EA30AB"/>
    <w:rsid w:val="00EA31AF"/>
    <w:rsid w:val="00EA3459"/>
    <w:rsid w:val="00EA4605"/>
    <w:rsid w:val="00EA5EC1"/>
    <w:rsid w:val="00EA73B6"/>
    <w:rsid w:val="00EB17A7"/>
    <w:rsid w:val="00EB1E4F"/>
    <w:rsid w:val="00EB37D5"/>
    <w:rsid w:val="00EB446E"/>
    <w:rsid w:val="00EB4CE3"/>
    <w:rsid w:val="00EB5247"/>
    <w:rsid w:val="00EB5327"/>
    <w:rsid w:val="00EB56D4"/>
    <w:rsid w:val="00EB6ADC"/>
    <w:rsid w:val="00EB6BB6"/>
    <w:rsid w:val="00EB6D7C"/>
    <w:rsid w:val="00EB7F09"/>
    <w:rsid w:val="00EC2CA9"/>
    <w:rsid w:val="00EC3DD3"/>
    <w:rsid w:val="00EC4D7C"/>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41F"/>
    <w:rsid w:val="00F02672"/>
    <w:rsid w:val="00F02808"/>
    <w:rsid w:val="00F03A68"/>
    <w:rsid w:val="00F050D8"/>
    <w:rsid w:val="00F06698"/>
    <w:rsid w:val="00F069BA"/>
    <w:rsid w:val="00F11BBA"/>
    <w:rsid w:val="00F121E3"/>
    <w:rsid w:val="00F13DC9"/>
    <w:rsid w:val="00F14B5F"/>
    <w:rsid w:val="00F1554E"/>
    <w:rsid w:val="00F161BA"/>
    <w:rsid w:val="00F17747"/>
    <w:rsid w:val="00F200EC"/>
    <w:rsid w:val="00F2070F"/>
    <w:rsid w:val="00F2222A"/>
    <w:rsid w:val="00F22909"/>
    <w:rsid w:val="00F23FD0"/>
    <w:rsid w:val="00F24319"/>
    <w:rsid w:val="00F261E4"/>
    <w:rsid w:val="00F261F8"/>
    <w:rsid w:val="00F26A25"/>
    <w:rsid w:val="00F274E9"/>
    <w:rsid w:val="00F30020"/>
    <w:rsid w:val="00F3131C"/>
    <w:rsid w:val="00F32897"/>
    <w:rsid w:val="00F3390D"/>
    <w:rsid w:val="00F34446"/>
    <w:rsid w:val="00F350D6"/>
    <w:rsid w:val="00F3674E"/>
    <w:rsid w:val="00F36E27"/>
    <w:rsid w:val="00F40864"/>
    <w:rsid w:val="00F40AAC"/>
    <w:rsid w:val="00F40CDF"/>
    <w:rsid w:val="00F421E4"/>
    <w:rsid w:val="00F4255C"/>
    <w:rsid w:val="00F43053"/>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5D78"/>
    <w:rsid w:val="00FC63E4"/>
    <w:rsid w:val="00FC65BE"/>
    <w:rsid w:val="00FC6B4F"/>
    <w:rsid w:val="00FD1F24"/>
    <w:rsid w:val="00FD260E"/>
    <w:rsid w:val="00FD4CBA"/>
    <w:rsid w:val="00FD576B"/>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67344108">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E7A7-3912-41D4-AFB1-9EBBAFA6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3</Pages>
  <Words>1117</Words>
  <Characters>7668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8768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Татьяна Валентиновна Доровская</cp:lastModifiedBy>
  <cp:revision>31</cp:revision>
  <cp:lastPrinted>2025-03-25T08:36:00Z</cp:lastPrinted>
  <dcterms:created xsi:type="dcterms:W3CDTF">2025-01-31T09:07:00Z</dcterms:created>
  <dcterms:modified xsi:type="dcterms:W3CDTF">2025-03-25T09:19:00Z</dcterms:modified>
</cp:coreProperties>
</file>