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33DA7" w14:textId="77777777" w:rsidR="00896BEE" w:rsidRDefault="00896BEE" w:rsidP="00896B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C10A8E" w14:textId="77777777" w:rsidR="000621F0" w:rsidRPr="000621F0" w:rsidRDefault="000621F0" w:rsidP="00896B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1F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288243D1" wp14:editId="2870670B">
            <wp:simplePos x="0" y="0"/>
            <wp:positionH relativeFrom="column">
              <wp:posOffset>2337435</wp:posOffset>
            </wp:positionH>
            <wp:positionV relativeFrom="paragraph">
              <wp:align>top</wp:align>
            </wp:positionV>
            <wp:extent cx="666750" cy="790575"/>
            <wp:effectExtent l="0" t="0" r="0" b="9525"/>
            <wp:wrapSquare wrapText="bothSides"/>
            <wp:docPr id="2" name="Рисунок 2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6BEE" w:rsidRPr="00896B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  <w:r w:rsidR="00896BEE" w:rsidRPr="00896B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14:paraId="77BED016" w14:textId="77777777" w:rsidR="000621F0" w:rsidRPr="000621F0" w:rsidRDefault="000621F0" w:rsidP="00062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1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КОТЛАССКИЙ МУНИЦИПАЛЬНЫЙ ОКРУГ АРХАНГЕЛЬСКОЙ ОБЛАСТИ </w:t>
      </w:r>
    </w:p>
    <w:p w14:paraId="6E41C869" w14:textId="77777777" w:rsidR="000621F0" w:rsidRPr="000621F0" w:rsidRDefault="000621F0" w:rsidP="000621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B25E0D" w14:textId="77777777" w:rsidR="000621F0" w:rsidRPr="000621F0" w:rsidRDefault="000621F0" w:rsidP="00062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</w:t>
      </w:r>
    </w:p>
    <w:p w14:paraId="11CF06F2" w14:textId="77777777" w:rsidR="000621F0" w:rsidRPr="000621F0" w:rsidRDefault="000621F0" w:rsidP="00062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</w:t>
      </w:r>
      <w:r w:rsidRPr="00062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4E4A2CE2" w14:textId="77777777" w:rsidR="000621F0" w:rsidRPr="000621F0" w:rsidRDefault="000621F0" w:rsidP="00062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A8B212" w14:textId="77777777" w:rsidR="000621F0" w:rsidRPr="000621F0" w:rsidRDefault="000621F0" w:rsidP="00062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8C41974" w14:textId="77777777" w:rsidR="000621F0" w:rsidRPr="000621F0" w:rsidRDefault="000621F0" w:rsidP="00062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16AD5" w14:textId="77777777" w:rsidR="000621F0" w:rsidRPr="000621F0" w:rsidRDefault="000621F0" w:rsidP="000621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60B20">
        <w:rPr>
          <w:rFonts w:ascii="Times New Roman" w:eastAsia="Times New Roman" w:hAnsi="Times New Roman" w:cs="Times New Roman"/>
          <w:sz w:val="28"/>
          <w:szCs w:val="28"/>
          <w:lang w:eastAsia="ru-RU"/>
        </w:rPr>
        <w:t>____ июня  2025</w:t>
      </w:r>
      <w:r w:rsidRPr="0006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</w:t>
      </w:r>
      <w:r w:rsidRPr="000621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21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21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21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21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21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21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353C323D" w14:textId="77777777" w:rsidR="000621F0" w:rsidRPr="000621F0" w:rsidRDefault="000621F0" w:rsidP="000621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60253A" w14:textId="77777777" w:rsidR="000621F0" w:rsidRPr="000621F0" w:rsidRDefault="000621F0" w:rsidP="000621F0">
      <w:pPr>
        <w:tabs>
          <w:tab w:val="left" w:pos="9639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80FE75" w14:textId="77777777" w:rsidR="000621F0" w:rsidRPr="000621F0" w:rsidRDefault="000621F0" w:rsidP="000621F0">
      <w:pPr>
        <w:tabs>
          <w:tab w:val="left" w:pos="9639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отчете о деятельности </w:t>
      </w:r>
      <w:r w:rsidRPr="00062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FAEA6EC" w14:textId="77777777" w:rsidR="000621F0" w:rsidRPr="000621F0" w:rsidRDefault="000621F0" w:rsidP="000621F0">
      <w:pPr>
        <w:tabs>
          <w:tab w:val="left" w:pos="9639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Контрольно-счетной комиссии Котласского муниципального округа Архангельской области</w:t>
      </w:r>
      <w:r w:rsidR="00860B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5A466C19" w14:textId="77777777" w:rsidR="000621F0" w:rsidRPr="000621F0" w:rsidRDefault="000621F0" w:rsidP="000621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ADD60B" w14:textId="77777777" w:rsidR="000621F0" w:rsidRPr="000621F0" w:rsidRDefault="000621F0" w:rsidP="000621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F95177" w14:textId="77777777" w:rsidR="000621F0" w:rsidRPr="000621F0" w:rsidRDefault="000621F0" w:rsidP="000621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отчет председателя Контрольно-счетной комиссии Котласского муниципального округа </w:t>
      </w:r>
      <w:r w:rsidR="004E5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</w:t>
      </w:r>
      <w:proofErr w:type="spellStart"/>
      <w:r w:rsidR="004E546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Латухиной</w:t>
      </w:r>
      <w:proofErr w:type="spellEnd"/>
      <w:r w:rsidR="004E5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464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деятельности Контрольно-счетной комиссии Котласского муниципального окру</w:t>
      </w:r>
      <w:r w:rsidR="00860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Архангельской области за 2024</w:t>
      </w:r>
      <w:r w:rsidR="004E5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D763C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 статьей</w:t>
      </w:r>
      <w:r w:rsidR="001D763C" w:rsidRPr="001D7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образований», </w:t>
      </w:r>
      <w:r w:rsidRPr="0006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Котласского муниципального округа Архангельской области </w:t>
      </w:r>
      <w:r w:rsidRPr="00062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14:paraId="4CB72A88" w14:textId="77777777" w:rsidR="000621F0" w:rsidRPr="000621F0" w:rsidRDefault="000621F0" w:rsidP="000621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E77741" w14:textId="77777777" w:rsidR="001D763C" w:rsidRPr="001D763C" w:rsidRDefault="001D763C" w:rsidP="001D763C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63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 о деятельности Контрольно-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</w:t>
      </w:r>
      <w:r w:rsidRPr="001D7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Котласского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</w:t>
      </w:r>
      <w:r w:rsidR="00860B20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Архангельской области за 2024</w:t>
      </w:r>
      <w:r w:rsidRPr="001D7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принять к сведению. </w:t>
      </w:r>
    </w:p>
    <w:p w14:paraId="2FD6B5E8" w14:textId="77777777" w:rsidR="000621F0" w:rsidRPr="001D763C" w:rsidRDefault="001D763C" w:rsidP="001D763C">
      <w:pPr>
        <w:pStyle w:val="a3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76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Поручить председателю Контрольно-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</w:t>
      </w:r>
      <w:r w:rsidRPr="001D7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опубликовать отчет о деятельности Контрольно-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</w:t>
      </w:r>
      <w:r w:rsidRPr="001D7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Котласского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  <w:r w:rsidRPr="001D763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 за 202</w:t>
      </w:r>
      <w:r w:rsidR="00860B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D7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газете «Двинская правда» и разместить  в информационно-телекоммуникационной сети «Интернет».</w:t>
      </w:r>
    </w:p>
    <w:p w14:paraId="5B0D4F16" w14:textId="77777777" w:rsidR="000621F0" w:rsidRPr="000621F0" w:rsidRDefault="000621F0" w:rsidP="000621F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FD59C" w14:textId="30DA3CA4" w:rsidR="000621F0" w:rsidRDefault="000621F0" w:rsidP="001D7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Собрания </w:t>
      </w:r>
      <w:proofErr w:type="gramStart"/>
      <w:r w:rsidRPr="00062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депутатов </w:t>
      </w:r>
      <w:r w:rsidR="00C57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7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End"/>
      <w:r w:rsidR="00C57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7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7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Pr="00062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0621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Бильчук</w:t>
      </w:r>
      <w:proofErr w:type="spellEnd"/>
    </w:p>
    <w:p w14:paraId="3F552C28" w14:textId="418BC66F" w:rsidR="00F0792F" w:rsidRDefault="00F0792F" w:rsidP="001D7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486A3D" w14:textId="37207ECD" w:rsidR="00F0792F" w:rsidRDefault="00F0792F" w:rsidP="001D7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4AD53BD" w14:textId="38726EA0" w:rsidR="00F0792F" w:rsidRDefault="00F0792F" w:rsidP="001D7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92555A" w14:textId="77777777" w:rsidR="00F0792F" w:rsidRPr="0075642C" w:rsidRDefault="00F0792F" w:rsidP="00F0792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ОТЧЕТ</w:t>
      </w:r>
    </w:p>
    <w:p w14:paraId="18E13E35" w14:textId="77777777" w:rsidR="00F0792F" w:rsidRPr="0075642C" w:rsidRDefault="00F0792F" w:rsidP="00F0792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деятельности Контрольно-счетной комиссии </w:t>
      </w:r>
    </w:p>
    <w:p w14:paraId="141C28EF" w14:textId="77777777" w:rsidR="00F0792F" w:rsidRPr="0075642C" w:rsidRDefault="00F0792F" w:rsidP="00F0792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Котласского муниципального округа Архангельской области </w:t>
      </w:r>
      <w:proofErr w:type="gramStart"/>
      <w:r w:rsidRPr="007564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  2024</w:t>
      </w:r>
      <w:proofErr w:type="gramEnd"/>
      <w:r w:rsidRPr="007564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14:paraId="175B1CB6" w14:textId="77777777" w:rsidR="00F0792F" w:rsidRPr="0075642C" w:rsidRDefault="00F0792F" w:rsidP="00F0792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693B53" w14:textId="77777777" w:rsidR="00F0792F" w:rsidRPr="0075642C" w:rsidRDefault="00F0792F" w:rsidP="00F0792F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Общие положения</w:t>
      </w:r>
    </w:p>
    <w:p w14:paraId="6915A462" w14:textId="77777777" w:rsidR="00F0792F" w:rsidRPr="0075642C" w:rsidRDefault="00F0792F" w:rsidP="00F0792F">
      <w:pPr>
        <w:keepNext/>
        <w:overflowPunct w:val="0"/>
        <w:autoSpaceDE w:val="0"/>
        <w:autoSpaceDN w:val="0"/>
        <w:adjustRightInd w:val="0"/>
        <w:spacing w:after="0" w:line="240" w:lineRule="auto"/>
        <w:ind w:firstLine="499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Настоящий отчет о деятельности Контрольно-счетной комиссии                              Котласского муниципального округа Архангельской области (далее по тексту – Контрольно-счетная комиссия в соответствующем падеже)  подготовлен во исполнение Федерального закона от 07.02.2011 №6-ФЗ «Об общих принципах организации и деятельности контрольно-счетных органов субъектов РФ и муниципальных образований», Устава Котласского муниципального округа Архангельской области, Положения о Контрольно-счетной комиссии Котласского муниципального округа Архангельской области, утвержденного решением Собрания депутатов  Котласского муниципального округа от 21.10.2022 №17 </w:t>
      </w:r>
      <w:r w:rsidRPr="0075642C">
        <w:rPr>
          <w:rFonts w:ascii="Times New Roman" w:hAnsi="Times New Roman" w:cs="Times New Roman"/>
          <w:sz w:val="26"/>
          <w:szCs w:val="26"/>
        </w:rPr>
        <w:t xml:space="preserve"> (далее – Положение). </w:t>
      </w:r>
    </w:p>
    <w:p w14:paraId="7E503D82" w14:textId="77777777" w:rsidR="00F0792F" w:rsidRPr="0075642C" w:rsidRDefault="00F0792F" w:rsidP="00F0792F">
      <w:pPr>
        <w:keepNext/>
        <w:overflowPunct w:val="0"/>
        <w:autoSpaceDE w:val="0"/>
        <w:autoSpaceDN w:val="0"/>
        <w:adjustRightInd w:val="0"/>
        <w:spacing w:after="0" w:line="240" w:lineRule="auto"/>
        <w:ind w:firstLine="499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соответствии с Положением Контрольно-счетная комиссия осуществляла свою деятельность в отчетном году на основании плана работы на 2024 год.</w:t>
      </w:r>
    </w:p>
    <w:p w14:paraId="6754925E" w14:textId="77777777" w:rsidR="00F0792F" w:rsidRPr="0075642C" w:rsidRDefault="00F0792F" w:rsidP="00F0792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8020F4" w14:textId="77777777" w:rsidR="00F0792F" w:rsidRPr="0075642C" w:rsidRDefault="00F0792F" w:rsidP="00F079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Контрольная деятельность</w:t>
      </w:r>
    </w:p>
    <w:p w14:paraId="787CED54" w14:textId="77777777" w:rsidR="00F0792F" w:rsidRPr="0075642C" w:rsidRDefault="00F0792F" w:rsidP="00F07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планом работы Контрольно-счетной </w:t>
      </w:r>
      <w:proofErr w:type="gram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комиссии  в</w:t>
      </w:r>
      <w:proofErr w:type="gram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году было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утверждено к проведению 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10 контрольных мероприятий:</w:t>
      </w:r>
    </w:p>
    <w:p w14:paraId="6BA9B4A9" w14:textId="77777777" w:rsidR="00F0792F" w:rsidRPr="0075642C" w:rsidRDefault="00F0792F" w:rsidP="00F0792F">
      <w:pPr>
        <w:spacing w:after="0"/>
        <w:ind w:firstLine="708"/>
        <w:jc w:val="both"/>
        <w:rPr>
          <w:rFonts w:ascii="Calibri" w:eastAsia="Calibri" w:hAnsi="Calibri" w:cs="Times New Roman"/>
          <w:sz w:val="26"/>
          <w:szCs w:val="26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Внешняя проверка годовой бюджетной отчетности главного администратора и получателя бюджетных средств – Администрации Котласского муниципального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округа </w:t>
      </w:r>
      <w:r w:rsidRPr="0075642C">
        <w:rPr>
          <w:rFonts w:ascii="Times New Roman" w:eastAsia="Calibri" w:hAnsi="Times New Roman" w:cs="Times New Roman"/>
          <w:sz w:val="26"/>
          <w:szCs w:val="26"/>
        </w:rPr>
        <w:t>Архангельской области за 2023 год;</w:t>
      </w:r>
    </w:p>
    <w:p w14:paraId="6884AF0E" w14:textId="77777777" w:rsidR="00F0792F" w:rsidRPr="0075642C" w:rsidRDefault="00F0792F" w:rsidP="00F0792F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- Внешняя проверка годовой бюджетной отчетности администратора (главного распорядителя) и получателя бюджетных средств - Управления </w:t>
      </w:r>
      <w:proofErr w:type="spellStart"/>
      <w:r w:rsidRPr="0075642C">
        <w:rPr>
          <w:rFonts w:ascii="Times New Roman" w:eastAsia="Calibri" w:hAnsi="Times New Roman" w:cs="Times New Roman"/>
          <w:sz w:val="26"/>
          <w:szCs w:val="26"/>
        </w:rPr>
        <w:t>имущественно</w:t>
      </w:r>
      <w:proofErr w:type="spellEnd"/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 - хозяйственного комплекса администрации Котласского муниципального </w:t>
      </w:r>
      <w:r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 Архангельской области за 2023 год;</w:t>
      </w:r>
    </w:p>
    <w:p w14:paraId="453C8912" w14:textId="77777777" w:rsidR="00F0792F" w:rsidRPr="0075642C" w:rsidRDefault="00F0792F" w:rsidP="00F0792F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Внешняя проверка годовой бюджетной отчетности главного администратора (главного распорядителя), получателя бюджетных средств- Управление по социальной политике администрации Котласского муниципального </w:t>
      </w:r>
      <w:r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 Архангельской области за 2023 год;</w:t>
      </w:r>
    </w:p>
    <w:p w14:paraId="3E636157" w14:textId="77777777" w:rsidR="00F0792F" w:rsidRPr="0075642C" w:rsidRDefault="00F0792F" w:rsidP="00F07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5642C">
        <w:rPr>
          <w:rFonts w:ascii="Times New Roman" w:hAnsi="Times New Roman" w:cs="Times New Roman"/>
          <w:sz w:val="26"/>
          <w:szCs w:val="26"/>
        </w:rPr>
        <w:t>Проверка использования средств бюджета Котласского муниципального района выделенных в 2022 году в рамках реализации мероприятий  муниципальной программы «Развитие образования на территории Котласского муниципального района Архангельской области» на обеспечение финансово-хозяйственной деятельности МОУ «</w:t>
      </w:r>
      <w:proofErr w:type="spellStart"/>
      <w:r w:rsidRPr="0075642C">
        <w:rPr>
          <w:rFonts w:ascii="Times New Roman" w:hAnsi="Times New Roman" w:cs="Times New Roman"/>
          <w:sz w:val="26"/>
          <w:szCs w:val="26"/>
        </w:rPr>
        <w:t>Черемушская</w:t>
      </w:r>
      <w:proofErr w:type="spellEnd"/>
      <w:r w:rsidRPr="0075642C">
        <w:rPr>
          <w:rFonts w:ascii="Times New Roman" w:hAnsi="Times New Roman" w:cs="Times New Roman"/>
          <w:sz w:val="26"/>
          <w:szCs w:val="26"/>
        </w:rPr>
        <w:t xml:space="preserve"> ООШ» с аудитом в сфере закупок товаров, работ, услуг в соответствии с Федеральным законом от 05.04.2013 №44-ФЗ                      «О контрактной системе в сфере закупок товаров, работ и услуг для обеспечения государственных и муниципальных нужд» (начало проверки в 2023 году)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59A0C5E" w14:textId="77777777" w:rsidR="00F0792F" w:rsidRPr="0075642C" w:rsidRDefault="00F0792F" w:rsidP="00F079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5642C">
        <w:rPr>
          <w:rFonts w:ascii="Times New Roman" w:hAnsi="Times New Roman" w:cs="Times New Roman"/>
          <w:sz w:val="26"/>
          <w:szCs w:val="26"/>
        </w:rPr>
        <w:t xml:space="preserve">Проверка обоснованности, эффективности, целевого использования бюджетных средств Котласского муниципального округа за 2023 год в рамках исполнения </w:t>
      </w:r>
      <w:proofErr w:type="gramStart"/>
      <w:r w:rsidRPr="0075642C">
        <w:rPr>
          <w:rFonts w:ascii="Times New Roman" w:hAnsi="Times New Roman" w:cs="Times New Roman"/>
          <w:sz w:val="26"/>
          <w:szCs w:val="26"/>
        </w:rPr>
        <w:t>мероприятий  муниципальной</w:t>
      </w:r>
      <w:proofErr w:type="gramEnd"/>
      <w:r w:rsidRPr="0075642C">
        <w:rPr>
          <w:rFonts w:ascii="Times New Roman" w:hAnsi="Times New Roman" w:cs="Times New Roman"/>
          <w:sz w:val="26"/>
          <w:szCs w:val="26"/>
        </w:rPr>
        <w:t xml:space="preserve"> программы «Управление муниципальным имуществом Котласского муниципального округа Архангельской области»</w:t>
      </w:r>
      <w:r w:rsidRPr="0075642C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01D929C0" w14:textId="77777777" w:rsidR="00F0792F" w:rsidRPr="0075642C" w:rsidRDefault="00F0792F" w:rsidP="00F0792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Pr="0075642C">
        <w:rPr>
          <w:rFonts w:ascii="Times New Roman" w:hAnsi="Times New Roman" w:cs="Times New Roman"/>
          <w:sz w:val="26"/>
          <w:szCs w:val="26"/>
        </w:rPr>
        <w:t xml:space="preserve">Проверка обоснованности, эффективности, целевого использования бюджетных средств Котласского муниципального округа за 2023 год в рамках исполнения </w:t>
      </w:r>
      <w:proofErr w:type="gramStart"/>
      <w:r w:rsidRPr="0075642C">
        <w:rPr>
          <w:rFonts w:ascii="Times New Roman" w:hAnsi="Times New Roman" w:cs="Times New Roman"/>
          <w:sz w:val="26"/>
          <w:szCs w:val="26"/>
        </w:rPr>
        <w:t>мероприятий  муниципальной</w:t>
      </w:r>
      <w:proofErr w:type="gramEnd"/>
      <w:r w:rsidRPr="0075642C">
        <w:rPr>
          <w:rFonts w:ascii="Times New Roman" w:hAnsi="Times New Roman" w:cs="Times New Roman"/>
          <w:sz w:val="26"/>
          <w:szCs w:val="26"/>
        </w:rPr>
        <w:t xml:space="preserve"> программы «Развитие образования на территории Котласского муниципального округа»</w:t>
      </w:r>
      <w:r w:rsidRPr="0075642C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032355B0" w14:textId="77777777" w:rsidR="00F0792F" w:rsidRPr="0075642C" w:rsidRDefault="00F0792F" w:rsidP="00F079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642C">
        <w:rPr>
          <w:rFonts w:ascii="Times New Roman" w:hAnsi="Times New Roman" w:cs="Times New Roman"/>
          <w:sz w:val="26"/>
          <w:szCs w:val="26"/>
        </w:rPr>
        <w:t xml:space="preserve">- Проверка соблюдения бюджетного и иного законодательства при расходовании бюджетных средств </w:t>
      </w:r>
      <w:proofErr w:type="gramStart"/>
      <w:r w:rsidRPr="0075642C">
        <w:rPr>
          <w:rFonts w:ascii="Times New Roman" w:hAnsi="Times New Roman" w:cs="Times New Roman"/>
          <w:sz w:val="26"/>
          <w:szCs w:val="26"/>
        </w:rPr>
        <w:t>в 2023 году</w:t>
      </w:r>
      <w:proofErr w:type="gramEnd"/>
      <w:r w:rsidRPr="0075642C">
        <w:rPr>
          <w:rFonts w:ascii="Times New Roman" w:hAnsi="Times New Roman" w:cs="Times New Roman"/>
          <w:sz w:val="26"/>
          <w:szCs w:val="26"/>
        </w:rPr>
        <w:t xml:space="preserve"> направленных на реализацию развития системы инициативного бюджетирования в Котласском муниципальном округе Архангельской области</w:t>
      </w:r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; </w:t>
      </w:r>
    </w:p>
    <w:p w14:paraId="7D9AF77C" w14:textId="77777777" w:rsidR="00F0792F" w:rsidRPr="0075642C" w:rsidRDefault="00F0792F" w:rsidP="00F079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642C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75642C">
        <w:rPr>
          <w:rFonts w:ascii="Times New Roman" w:hAnsi="Times New Roman" w:cs="Times New Roman"/>
          <w:sz w:val="26"/>
          <w:szCs w:val="26"/>
        </w:rPr>
        <w:t>Проверка обоснованности, эффективности, целевого использования бюджетных средств Котласского муниципального округа за 2023 год в рамках исполнения мероприятий  муниципальной программы «Развитие территориального общественного самоуправления,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</w:r>
      <w:r w:rsidRPr="0075642C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D1549E0" w14:textId="77777777" w:rsidR="00F0792F" w:rsidRPr="0075642C" w:rsidRDefault="00F0792F" w:rsidP="00F079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642C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75642C">
        <w:rPr>
          <w:rFonts w:ascii="Times New Roman" w:hAnsi="Times New Roman" w:cs="Times New Roman"/>
          <w:sz w:val="26"/>
          <w:szCs w:val="26"/>
        </w:rPr>
        <w:t>Проверка соблюдения бюджетного и иного законодательства при расходовании бюджетных средств в 2023 году направленных на выполнение функций казенного учреждения Котласского муниципального округа Архангельской области «Архивно-административная часть» (начало проверки в 2024 году);</w:t>
      </w:r>
    </w:p>
    <w:p w14:paraId="74BFF60E" w14:textId="77777777" w:rsidR="00F0792F" w:rsidRPr="0075642C" w:rsidRDefault="00F0792F" w:rsidP="00F079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5642C">
        <w:rPr>
          <w:rFonts w:ascii="Times New Roman" w:eastAsia="Calibri" w:hAnsi="Times New Roman" w:cs="Times New Roman"/>
          <w:sz w:val="26"/>
          <w:szCs w:val="26"/>
        </w:rPr>
        <w:t>Проверка соблюдение бюджетного и иного законодательства при осуществлении в 2023 году полномочий по перераспределению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75642C">
        <w:rPr>
          <w:rFonts w:eastAsia="Calibri"/>
          <w:sz w:val="26"/>
          <w:szCs w:val="26"/>
        </w:rPr>
        <w:t>.</w:t>
      </w:r>
    </w:p>
    <w:p w14:paraId="034F7592" w14:textId="77777777" w:rsidR="00F0792F" w:rsidRPr="0075642C" w:rsidRDefault="00F0792F" w:rsidP="00F07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акты проверок доведены до сведения руководителей объектов проверок.</w:t>
      </w:r>
    </w:p>
    <w:p w14:paraId="1A5E0688" w14:textId="77777777" w:rsidR="00F0792F" w:rsidRPr="0075642C" w:rsidRDefault="00F0792F" w:rsidP="00F07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проверенных средств в 2024 году в рамках контрольных мероприятий составил 1 627 246,3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242D547F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Общий объем плановых назначений расходов бюджета по состоянию на 31.12.2024 года составил 1 559 293,</w:t>
      </w:r>
      <w:proofErr w:type="gram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 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proofErr w:type="gramEnd"/>
    </w:p>
    <w:p w14:paraId="7A0F4262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ab/>
      </w: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результатам проведенных контрольных мероприятий выявлено нарушений на сумму 32 027,9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из них:</w:t>
      </w:r>
    </w:p>
    <w:p w14:paraId="367296EC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нецелевое использование бюджетных средств – 1 467,7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14:paraId="6514B62C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нарушения при формировании и исполнении бюджетов – 227,4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14:paraId="669D990A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нарушения ведения бухгалтерского учета и представления бухгалтерской (финансовой) отчетности – 27 460,8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14:paraId="4704F36B" w14:textId="77777777" w:rsidR="00F0792F" w:rsidRPr="0075642C" w:rsidRDefault="00F0792F" w:rsidP="00F07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нарушения в сфере управления и распоряжения муниципальной </w:t>
      </w:r>
      <w:proofErr w:type="gram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собственностью  -</w:t>
      </w:r>
      <w:proofErr w:type="gram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864,9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14:paraId="23FB2118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нарушения при осуществлении муниципальных закупок и закупок отдельными видами юридических лиц – 1 871,4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14:paraId="74316BA9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иные нарушения – 135,7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26FC1959" w14:textId="77777777" w:rsidR="00F0792F" w:rsidRPr="0075642C" w:rsidRDefault="00F0792F" w:rsidP="00F07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Объектами контроля устранено выявленных нарушений на общую сумму 148,0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306534FD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В отношении объектов проверок Контрольно-счетной комиссией Котласского муниципального округа в 2024 году вынесено 6 представления и                   1 предписание. </w:t>
      </w:r>
    </w:p>
    <w:p w14:paraId="35AE9697" w14:textId="77777777" w:rsidR="00F0792F" w:rsidRPr="0075642C" w:rsidRDefault="00F0792F" w:rsidP="00F07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рамках контроля по устранению выявленных нарушений объектами проверок устранены нарушения на сумму 148,0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14:paraId="05D4000B" w14:textId="77777777" w:rsidR="00F0792F" w:rsidRPr="0075642C" w:rsidRDefault="00F0792F" w:rsidP="00F07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Составлено 18 протоколов об административных правонарушениях, привлечено к административной ответственности 3 должностных лица, 1 лицо привлечено к дисциплинарной ответственности.</w:t>
      </w:r>
    </w:p>
    <w:p w14:paraId="311249AA" w14:textId="77777777" w:rsidR="00F0792F" w:rsidRPr="0075642C" w:rsidRDefault="00F0792F" w:rsidP="00F07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Направлено 13 информационных писем, в рамках Соглашения о взаимодействии 11 материалов направлено в </w:t>
      </w:r>
      <w:proofErr w:type="spellStart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Котласскую</w:t>
      </w:r>
      <w:proofErr w:type="spellEnd"/>
      <w:r w:rsidRPr="007564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межрайонную прокуратуру.</w:t>
      </w:r>
    </w:p>
    <w:p w14:paraId="25A0C3EB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По результатам проведенных контрольных </w:t>
      </w:r>
      <w:proofErr w:type="gram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мероприятий,  Контрольно</w:t>
      </w:r>
      <w:proofErr w:type="gram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-счетная комиссия отмечает: </w:t>
      </w:r>
    </w:p>
    <w:p w14:paraId="2388DAF3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слабый внутренний финансовый контроль со стороны учредителей и главных </w:t>
      </w:r>
      <w:proofErr w:type="gram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администраторов,  распорядителей</w:t>
      </w:r>
      <w:proofErr w:type="gram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бюджетных средств;</w:t>
      </w:r>
    </w:p>
    <w:p w14:paraId="5444682E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несвоевременное внесение изменений в нормативно-правовую базу в части регулирования отношений в области предоставления бюджетных средств.</w:t>
      </w:r>
    </w:p>
    <w:p w14:paraId="5F5D86A0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низкую финансовую дисциплину со стороны ответственных лиц. </w:t>
      </w:r>
    </w:p>
    <w:p w14:paraId="220280C4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</w:p>
    <w:p w14:paraId="5512B478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Экспертно-аналитическая деятельность</w:t>
      </w:r>
    </w:p>
    <w:p w14:paraId="49A2548E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2024 году, </w:t>
      </w:r>
      <w:proofErr w:type="gram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плана</w:t>
      </w:r>
      <w:proofErr w:type="gram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работы, Контрольно-счетной комиссией проведено 29 экспертно-аналитических мероприятий с представлением заключений, в том числе:</w:t>
      </w:r>
    </w:p>
    <w:p w14:paraId="7392BA2D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- экспертиза отчета об исполнении бюджета Котласского муниципального округа Архангельской области за 2023 год – 1 заключение;</w:t>
      </w:r>
    </w:p>
    <w:p w14:paraId="5EFD5472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- экспертиза отчета об исполнении бюджета Котласского муниципального округа Архангельской области за 1 квартал 2024 года, 1 полугодие 2024 года,                     9 месяцев 2024 года – 3 заключения;</w:t>
      </w:r>
    </w:p>
    <w:p w14:paraId="379D7C3F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- экспертиза проектов решений Собрания депутатов Котласского муниципального округа Архангельской области «О внесении изменений   в бюджет Котласского муниципального округа Архангельской области на 2024 год и плановый период 2025 и 2026 годов» и поправок к ним – 7 заключений;</w:t>
      </w:r>
    </w:p>
    <w:p w14:paraId="2FB446C4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- экспертиза проектов решений Собрания депутатов Котласского муниципального округа в рамках управления и распоряжения муниципальным имуществом Котласского муниципального округа – 8 заключений;</w:t>
      </w:r>
    </w:p>
    <w:p w14:paraId="320BAACA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экспертиза проекта решения Собрания депутатов Котласского муниципального округа Архангельской области «О бюджете Котласского муниципального округа Архангельской области на 2025 год и плановый период 2026 и 2027 годов» и поправок к нему – 2 заключения; </w:t>
      </w:r>
    </w:p>
    <w:p w14:paraId="04A3DC35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экспертиза проектов решений Собрания депутатов Котласского муниципального округа Архангельской области, приводящих к изменению доходов бюджета муниципального округа (в рамках налогового законодательства) –                      3 заключения; </w:t>
      </w:r>
    </w:p>
    <w:p w14:paraId="1D43820C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экспертиза проектов решений Собрания депутатов Котласского муниципального округа, касающихся расходных обязательств Котласского муниципального </w:t>
      </w:r>
      <w:proofErr w:type="gram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  -</w:t>
      </w:r>
      <w:proofErr w:type="gram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заключений.</w:t>
      </w:r>
    </w:p>
    <w:p w14:paraId="41E0C0F4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 итогам проведенных экспертно-аналитических мероприятий Контрольно-счетной комиссией Котласского муниципального округа было внесено                             19 предложений, 18 из которых удовлетворено.         </w:t>
      </w:r>
    </w:p>
    <w:p w14:paraId="66572C20" w14:textId="77777777" w:rsidR="00F0792F" w:rsidRPr="0075642C" w:rsidRDefault="00F0792F" w:rsidP="00F07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заключения направлены в Собрание депутатов Котласского муниципального округа, Главе Котласского муниципального округа.</w:t>
      </w:r>
    </w:p>
    <w:p w14:paraId="3944BF83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73D00C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010C76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47FC3B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Организационная деятельность</w:t>
      </w:r>
    </w:p>
    <w:p w14:paraId="72A45CE4" w14:textId="77777777" w:rsidR="00F0792F" w:rsidRPr="0075642C" w:rsidRDefault="00F0792F" w:rsidP="00F07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отчетном году Контрольно-счетной комисси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разработаны и утверждены:</w:t>
      </w:r>
    </w:p>
    <w:p w14:paraId="268C8187" w14:textId="77777777" w:rsidR="00F0792F" w:rsidRPr="0075642C" w:rsidRDefault="00F0792F" w:rsidP="00F07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стандарты Контрольно-счетной комиссии Котласского муниципального округа;</w:t>
      </w:r>
    </w:p>
    <w:p w14:paraId="7751E4B1" w14:textId="77777777" w:rsidR="00F0792F" w:rsidRPr="0075642C" w:rsidRDefault="00F0792F" w:rsidP="00F07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5642C">
        <w:rPr>
          <w:rFonts w:ascii="Times New Roman" w:hAnsi="Times New Roman" w:cs="Times New Roman"/>
          <w:sz w:val="26"/>
          <w:szCs w:val="26"/>
        </w:rPr>
        <w:t>организационно-кадровые документы;</w:t>
      </w:r>
    </w:p>
    <w:p w14:paraId="1BBF538A" w14:textId="77777777" w:rsidR="00F0792F" w:rsidRPr="0075642C" w:rsidRDefault="00F0792F" w:rsidP="00F07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642C">
        <w:rPr>
          <w:rFonts w:ascii="Times New Roman" w:hAnsi="Times New Roman" w:cs="Times New Roman"/>
          <w:sz w:val="26"/>
          <w:szCs w:val="26"/>
        </w:rPr>
        <w:t>- локальные нормативные акты в сфере бухгалтерского учета и отчетности;</w:t>
      </w:r>
    </w:p>
    <w:p w14:paraId="15F484B7" w14:textId="77777777" w:rsidR="00F0792F" w:rsidRPr="0075642C" w:rsidRDefault="00F0792F" w:rsidP="00F07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hAnsi="Times New Roman" w:cs="Times New Roman"/>
          <w:sz w:val="26"/>
          <w:szCs w:val="26"/>
        </w:rPr>
        <w:t>- локальные нормативные акты в сфере ведения документооборота, архивного делопроизводства;</w:t>
      </w:r>
    </w:p>
    <w:p w14:paraId="60942111" w14:textId="77777777" w:rsidR="00F0792F" w:rsidRPr="0075642C" w:rsidRDefault="00F0792F" w:rsidP="00F07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прочие документы организационного характера. </w:t>
      </w:r>
    </w:p>
    <w:p w14:paraId="2DC5790C" w14:textId="77777777" w:rsidR="00F0792F" w:rsidRPr="0075642C" w:rsidRDefault="00F0792F" w:rsidP="00F0792F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Контрольно-счетная комиссия в своей деятельности </w:t>
      </w:r>
      <w:proofErr w:type="gram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взаимодействует  с</w:t>
      </w:r>
      <w:proofErr w:type="gram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Контрольно-счетной палатой Архангельской области, правоохранительными органами,  состоит в Ассоциации Контрольно-счетных органов Архангельской области и Союзе муниципальных контрольно-счетных органов Российской Федерации. </w:t>
      </w:r>
    </w:p>
    <w:p w14:paraId="0BC17C1B" w14:textId="77777777" w:rsidR="00F0792F" w:rsidRPr="0075642C" w:rsidRDefault="00F0792F" w:rsidP="00F0792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В 2024 году 1 </w:t>
      </w:r>
      <w:proofErr w:type="gram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 Контрольно</w:t>
      </w:r>
      <w:proofErr w:type="gram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-счетной комиссии прошел курсы повышения квалификации.</w:t>
      </w:r>
    </w:p>
    <w:p w14:paraId="18C2DADF" w14:textId="77777777" w:rsidR="00F0792F" w:rsidRPr="0075642C" w:rsidRDefault="00F0792F" w:rsidP="00F0792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0653664C" w14:textId="77777777" w:rsidR="00F0792F" w:rsidRPr="0075642C" w:rsidRDefault="00F0792F" w:rsidP="00F0792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Финансово-хозяйственная деятельность</w:t>
      </w:r>
    </w:p>
    <w:p w14:paraId="48881773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Штатная численность Контрольно-счетной комиссии на конец отчетного периода составила 3,25 штатных единицы, фактически занято 3,0 штатных единицы (председатель – 1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шт.ед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главный инспектор аппарата – 2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шт.ед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бухгалтер, контрактный управляющий (внутреннее совмещение – 0,25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шт.ед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.).</w:t>
      </w:r>
    </w:p>
    <w:p w14:paraId="27F86634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Фактические затраты на содержание Контрольно-счетной комиссии                             Котласского муниципального округа в 2024 году составили 4 807,3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(в 2023 году - 4619,2 </w:t>
      </w:r>
      <w:proofErr w:type="spellStart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.) или 100% от годовых плановых назначений.</w:t>
      </w:r>
    </w:p>
    <w:p w14:paraId="7F75A10B" w14:textId="77777777" w:rsidR="00F0792F" w:rsidRPr="0075642C" w:rsidRDefault="00F0792F" w:rsidP="00F07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Основную долю в расходах Контрольно-счетной комиссии составляют расходы на заработную плату с начислениями в государственные внебюджетные фонды – 91,7% в общем объеме исполненных расходов.</w:t>
      </w:r>
    </w:p>
    <w:p w14:paraId="5EB02020" w14:textId="77777777" w:rsidR="00F0792F" w:rsidRPr="0075642C" w:rsidRDefault="00F0792F" w:rsidP="00F07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закупок товаров, работ и услуг для муниципальных нужд Контрольно-счетной комиссией осуществлено материально-техническое обеспечение деятельности, обучение специалистов.</w:t>
      </w:r>
    </w:p>
    <w:p w14:paraId="25CD52A7" w14:textId="77777777" w:rsidR="00F0792F" w:rsidRPr="0075642C" w:rsidRDefault="00F0792F" w:rsidP="00F07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Инвентаризация имущества перед составлением годового бухгалтерского отчета проведена. Недостач и хищений не выявлено.</w:t>
      </w:r>
    </w:p>
    <w:p w14:paraId="50E8A124" w14:textId="77777777" w:rsidR="00F0792F" w:rsidRPr="0075642C" w:rsidRDefault="00F0792F" w:rsidP="00F07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Дебиторская и кредиторская задолженность по принятым бюджетным обязательствам по состоянию на 1 января 2025 года отсутствует.</w:t>
      </w:r>
    </w:p>
    <w:p w14:paraId="077ABF11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B00B29D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14:paraId="34D0F6CB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F98A7B5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Председатель </w:t>
      </w:r>
    </w:p>
    <w:p w14:paraId="2E669C0D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Контрольно-счетной комиссии </w:t>
      </w:r>
    </w:p>
    <w:p w14:paraId="317D7BA3" w14:textId="77777777" w:rsidR="00F0792F" w:rsidRPr="0075642C" w:rsidRDefault="00F0792F" w:rsidP="00F07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Котласского муниципального округа                                                О.Н. </w:t>
      </w:r>
      <w:proofErr w:type="spellStart"/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Латухина</w:t>
      </w:r>
      <w:proofErr w:type="spellEnd"/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564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14:paraId="190AB86F" w14:textId="79B9EEB9" w:rsidR="00F0792F" w:rsidRDefault="00F0792F" w:rsidP="001D7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082A63" w14:textId="6D4F097B" w:rsidR="00F0792F" w:rsidRDefault="00F0792F" w:rsidP="001D7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2B94B8" w14:textId="7EF51302" w:rsidR="00F0792F" w:rsidRDefault="00F0792F" w:rsidP="001D7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E72E76" w14:textId="31EE2CB9" w:rsidR="00F0792F" w:rsidRDefault="00F0792F" w:rsidP="001D7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369677" w14:textId="5E37243A" w:rsidR="00F0792F" w:rsidRDefault="00F0792F" w:rsidP="001D7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856A98" w14:textId="77777777" w:rsidR="00F0792F" w:rsidRPr="00665C0D" w:rsidRDefault="00F0792F" w:rsidP="00F0792F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5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Исполнение показателей бюджетной росписи </w:t>
      </w:r>
    </w:p>
    <w:p w14:paraId="35572B27" w14:textId="77777777" w:rsidR="00F0792F" w:rsidRPr="00665C0D" w:rsidRDefault="00F0792F" w:rsidP="00F0792F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5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главного распорядителя бюджетных средств – Контрольно-счетной комиссии Котласского муниципального округа Архангельской области за 2024 год</w:t>
      </w:r>
    </w:p>
    <w:tbl>
      <w:tblPr>
        <w:tblStyle w:val="TableStyle0"/>
        <w:tblpPr w:leftFromText="180" w:rightFromText="180" w:vertAnchor="text" w:horzAnchor="page" w:tblpX="1007" w:tblpY="282"/>
        <w:tblW w:w="1050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990"/>
        <w:gridCol w:w="284"/>
        <w:gridCol w:w="283"/>
        <w:gridCol w:w="284"/>
        <w:gridCol w:w="283"/>
        <w:gridCol w:w="142"/>
        <w:gridCol w:w="283"/>
        <w:gridCol w:w="567"/>
        <w:gridCol w:w="284"/>
        <w:gridCol w:w="992"/>
        <w:gridCol w:w="1276"/>
        <w:gridCol w:w="1134"/>
        <w:gridCol w:w="992"/>
        <w:gridCol w:w="709"/>
      </w:tblGrid>
      <w:tr w:rsidR="00F0792F" w:rsidRPr="00665C0D" w14:paraId="18C10E5C" w14:textId="77777777" w:rsidTr="00F0792F">
        <w:trPr>
          <w:cantSplit/>
        </w:trPr>
        <w:tc>
          <w:tcPr>
            <w:tcW w:w="5400" w:type="dxa"/>
            <w:gridSpan w:val="9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77556C2" w14:textId="77777777" w:rsidR="00F0792F" w:rsidRPr="00665C0D" w:rsidRDefault="00F0792F" w:rsidP="00F0792F">
            <w:pPr>
              <w:ind w:left="-5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8E50FB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C5745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Наименование главного распорядителя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5B0E030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  <w:p w14:paraId="4397FFCF" w14:textId="77777777" w:rsidR="00F0792F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 xml:space="preserve">за </w:t>
            </w:r>
          </w:p>
          <w:p w14:paraId="393D8C3B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2023 год,</w:t>
            </w:r>
          </w:p>
          <w:p w14:paraId="093979B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FF49DA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C1315F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68FE90B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 xml:space="preserve">Плановые показатели </w:t>
            </w:r>
          </w:p>
          <w:p w14:paraId="69EC3B89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B4F03B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</w:p>
          <w:p w14:paraId="0670CBC6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01.01.2025,</w:t>
            </w:r>
          </w:p>
          <w:p w14:paraId="3046113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B0F643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 xml:space="preserve">Принято бюджетных обязательств на </w:t>
            </w:r>
          </w:p>
          <w:p w14:paraId="688467C5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01.01.2025,</w:t>
            </w:r>
          </w:p>
          <w:p w14:paraId="3A8DEFF2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723AE8A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Исполнено по состоянию на 01.01.2025,</w:t>
            </w:r>
          </w:p>
          <w:p w14:paraId="58FC7BC0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</w:tcPr>
          <w:p w14:paraId="6924655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51A137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14:paraId="3AA27B32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испол</w:t>
            </w:r>
            <w:proofErr w:type="spellEnd"/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065CFA32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нения</w:t>
            </w:r>
          </w:p>
          <w:p w14:paraId="37F6F927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792F" w:rsidRPr="00665C0D" w14:paraId="40478511" w14:textId="77777777" w:rsidTr="00F0792F">
        <w:trPr>
          <w:cantSplit/>
        </w:trPr>
        <w:tc>
          <w:tcPr>
            <w:tcW w:w="5400" w:type="dxa"/>
            <w:gridSpan w:val="9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15093F2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</w:t>
            </w:r>
          </w:p>
          <w:p w14:paraId="4B48916A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Котласского муниципального округа Архангельской области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39FF7BE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9422CEF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4 619,2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1AC28DA4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4C084A0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4 807,4</w:t>
            </w:r>
          </w:p>
        </w:tc>
        <w:tc>
          <w:tcPr>
            <w:tcW w:w="1134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8ACC2D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6BCA932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4 807,3</w:t>
            </w:r>
          </w:p>
        </w:tc>
        <w:tc>
          <w:tcPr>
            <w:tcW w:w="992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3EB3C83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215CDB7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4 807,3</w:t>
            </w:r>
          </w:p>
        </w:tc>
        <w:tc>
          <w:tcPr>
            <w:tcW w:w="709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</w:tcPr>
          <w:p w14:paraId="69819B20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C291CE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F0792F" w:rsidRPr="00665C0D" w14:paraId="68D75F1F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12C8B645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905276B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  <w:bookmarkStart w:id="0" w:name="_GoBack"/>
            <w:bookmarkEnd w:id="0"/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15C6101C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A64CCA6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380BEB46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3C4DB6A5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C64A618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C44AB82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17443F6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246014E0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50DAD6B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4 619,2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8C2A5C2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E5DCCA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4 807,4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1F821ACF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D4B4AB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4 807,3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2C7F492B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A26D0E9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4 807,3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2E294FC4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1E5D2DF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F0792F" w:rsidRPr="00665C0D" w14:paraId="7A8AED6D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14:paraId="29690540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CFB42B0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E3A3CFF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B42BB0E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7A0EFFAB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2C733F6E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C551F9F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8AB0D99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5358391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51053B79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0C77D14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016463B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190F05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062230F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4 619,2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FE7D947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C87691B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1D83BCC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F7AFF3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C9DAF6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4 807,4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85FEF9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3786687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D02129F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39145D7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731080B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4 807,3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5F0E7E03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A052822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2E18189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0332ECC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69733A2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4 807,3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11A49A6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2C539DC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349AD34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C86562C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8A484E4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F0792F" w:rsidRPr="00665C0D" w14:paraId="7FCE84E1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14:paraId="3EC35D31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7DAFE89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763B086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2677EDF5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61F08B58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641EA9C6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76405F9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2345CA4C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76E78DC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741F730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58D9F79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52BD892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E203D5F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1 749,6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5DF214F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C0D853A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DBCDE63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1AC270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1 845,8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462E235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08CE5D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85A5A1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D3F47A0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1 845,8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3FAB972C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4D348DA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89EB32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B4CB956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1 845,8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796EF8F9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152557B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EA60E40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37D7A6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F0792F" w:rsidRPr="00665C0D" w14:paraId="355E72DB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14:paraId="30CCB169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7BEE4C8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15BAC1E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24E6BE1C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43180F63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0D13334B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4A36E0F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CC1F68F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81CC63C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42EDB00F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1 343,8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387F522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1 417,7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1D3F059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1 417,7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3AB83563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1 417,7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47E4F381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0792F" w:rsidRPr="00665C0D" w14:paraId="11CF77F9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14:paraId="036910FB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0BD235B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2302406A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286DDAC8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196EEDF2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4FAB14BC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147567F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8CE3D0C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B08D963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1D88979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405,8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1C2D2433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428,1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AD27AEB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428,1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47C23A4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428,1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014366E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0792F" w:rsidRPr="00665C0D" w14:paraId="6BD6DDBE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14:paraId="5F3A4CF2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AA6BBD0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97FFF44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E70B256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547676E4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5FBBE703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69A444B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273AC1CC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14296CB4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143BF4B5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2 869,6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B2789E3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2 954,5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16E1A3E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2 954,4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6959B7F9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2 954,4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31F3AA3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F0792F" w:rsidRPr="00665C0D" w14:paraId="1273EB97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14:paraId="2D05BE55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063838B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14BA3BF9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79B7614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320DC711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559A9CEF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27835AC9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53EA250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EE5DA55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52F5F812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1 998,8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13ABADB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1 972,6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51F481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1 972,6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1C1E513C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1 972,6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521F3653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0792F" w:rsidRPr="00665C0D" w14:paraId="12AD8A58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14:paraId="0421C6BE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1ED2140F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C583D4A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03448C6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50D8CEBD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287FF756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0406D71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2B361AA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6B699E3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663A7F37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D2F5471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BC76FBB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3D163C5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1916970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0792F" w:rsidRPr="00665C0D" w14:paraId="56523A88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14:paraId="26A1036C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A0D1B95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3E7D256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F7CF15A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5743E7CE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6320A911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702EC34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62C90D5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6BD24A7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1133FC61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603,6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1265C353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588,9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502EF76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588,7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3CA9776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588,7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4C579093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0792F" w:rsidRPr="00665C0D" w14:paraId="1FC2C04E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14:paraId="2B9C5929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281546FF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3517AF4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7E6C611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6B497BCD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7D1F4A99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47DDBC6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B650F13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F002511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539ADCDC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221,1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717BC09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336,2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495967C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336,2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59BAFE91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336,2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75C4F39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0792F" w:rsidRPr="00665C0D" w14:paraId="688E53CB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D5823F7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96873FB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7360EF9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FE90F12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6AF3EA3F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2A6E6262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7C107DD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357A750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4BA95D6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0512EA45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1B1FD0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444FCF0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45A865A5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68503857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0792F" w:rsidRPr="00665C0D" w14:paraId="0C9CA68B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7318C0E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2D6D1DA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63D46BB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7CF1FB1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5FFFBD21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71078502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8869EC1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F8523DC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1BD8F47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402E8769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40DA135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29EE54D5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37393C6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29CF3122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0792F" w:rsidRPr="00665C0D" w14:paraId="25E25F2B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14:paraId="70ADD705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81EC151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2EEB2CD9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F24544E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7FC2F525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75439136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C26BFBA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59606D5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790DF10" w14:textId="77777777" w:rsidR="00F0792F" w:rsidRPr="00665C0D" w:rsidRDefault="00F0792F" w:rsidP="00F0792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6BCA3FC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48FE9741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9FD7526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3B84192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55C5F204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F0792F" w:rsidRPr="00665C0D" w14:paraId="3CA2981B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14:paraId="7869B4AF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A458308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27C07B49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1E466DE6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0EF2C3E2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125178D7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A958B5F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610AF5A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923E27E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30B4CA99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22CD2CB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4396038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182D01D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11AD33A2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0792F" w:rsidRPr="00665C0D" w14:paraId="6BD1B9DF" w14:textId="77777777" w:rsidTr="00F0792F">
        <w:trPr>
          <w:cantSplit/>
        </w:trPr>
        <w:tc>
          <w:tcPr>
            <w:tcW w:w="2990" w:type="dxa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</w:tcPr>
          <w:p w14:paraId="44B21DDF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0030DA98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6D3E9FE1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16887074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0B4EE1CB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</w:tcPr>
          <w:p w14:paraId="6C38DF71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5CE0E2D1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3A6A5400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8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1C25694E" w14:textId="77777777" w:rsidR="00F0792F" w:rsidRPr="00665C0D" w:rsidRDefault="00F0792F" w:rsidP="00F079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</w:tcPr>
          <w:p w14:paraId="62459EF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23F13EF5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</w:tcPr>
          <w:p w14:paraId="7908F7D2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</w:tcPr>
          <w:p w14:paraId="681823AE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709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</w:tcPr>
          <w:p w14:paraId="011DB5BD" w14:textId="77777777" w:rsidR="00F0792F" w:rsidRPr="00665C0D" w:rsidRDefault="00F0792F" w:rsidP="00F079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C0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</w:tbl>
    <w:p w14:paraId="0475AC7A" w14:textId="71D378DD" w:rsidR="00F0792F" w:rsidRDefault="00F0792F" w:rsidP="001D7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D0B2AA" w14:textId="77777777" w:rsidR="00F0792F" w:rsidRPr="00C57095" w:rsidRDefault="00F0792F" w:rsidP="001D7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D29A9D" w14:textId="77777777" w:rsidR="001456BA" w:rsidRPr="00EE4E53" w:rsidRDefault="001456BA" w:rsidP="00DC158A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sectPr w:rsidR="001456BA" w:rsidRPr="00EE4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EAAF7" w14:textId="77777777" w:rsidR="00EB788A" w:rsidRDefault="00EB788A" w:rsidP="00896BEE">
      <w:pPr>
        <w:spacing w:after="0" w:line="240" w:lineRule="auto"/>
      </w:pPr>
      <w:r>
        <w:separator/>
      </w:r>
    </w:p>
  </w:endnote>
  <w:endnote w:type="continuationSeparator" w:id="0">
    <w:p w14:paraId="33812D2D" w14:textId="77777777" w:rsidR="00EB788A" w:rsidRDefault="00EB788A" w:rsidP="00896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DDAB9" w14:textId="77777777" w:rsidR="00EB788A" w:rsidRDefault="00EB788A" w:rsidP="00896BEE">
      <w:pPr>
        <w:spacing w:after="0" w:line="240" w:lineRule="auto"/>
      </w:pPr>
      <w:r>
        <w:separator/>
      </w:r>
    </w:p>
  </w:footnote>
  <w:footnote w:type="continuationSeparator" w:id="0">
    <w:p w14:paraId="39C8FE7B" w14:textId="77777777" w:rsidR="00EB788A" w:rsidRDefault="00EB788A" w:rsidP="00896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7151CC"/>
    <w:multiLevelType w:val="hybridMultilevel"/>
    <w:tmpl w:val="11FE798E"/>
    <w:lvl w:ilvl="0" w:tplc="A6081C50">
      <w:start w:val="1"/>
      <w:numFmt w:val="decimal"/>
      <w:lvlText w:val="%1."/>
      <w:lvlJc w:val="left"/>
      <w:pPr>
        <w:tabs>
          <w:tab w:val="num" w:pos="973"/>
        </w:tabs>
        <w:ind w:left="97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93"/>
        </w:tabs>
        <w:ind w:left="169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13"/>
        </w:tabs>
        <w:ind w:left="241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33"/>
        </w:tabs>
        <w:ind w:left="313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53"/>
        </w:tabs>
        <w:ind w:left="385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73"/>
        </w:tabs>
        <w:ind w:left="457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93"/>
        </w:tabs>
        <w:ind w:left="529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13"/>
        </w:tabs>
        <w:ind w:left="601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33"/>
        </w:tabs>
        <w:ind w:left="6733" w:hanging="180"/>
      </w:pPr>
    </w:lvl>
  </w:abstractNum>
  <w:abstractNum w:abstractNumId="2" w15:restartNumberingAfterBreak="0">
    <w:nsid w:val="562F1ECB"/>
    <w:multiLevelType w:val="hybridMultilevel"/>
    <w:tmpl w:val="C498863C"/>
    <w:lvl w:ilvl="0" w:tplc="BC12A00E">
      <w:start w:val="1"/>
      <w:numFmt w:val="decimal"/>
      <w:lvlText w:val="%1."/>
      <w:lvlJc w:val="left"/>
      <w:pPr>
        <w:ind w:left="9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BCB"/>
    <w:rsid w:val="0004217F"/>
    <w:rsid w:val="000425D4"/>
    <w:rsid w:val="000621F0"/>
    <w:rsid w:val="00063CBA"/>
    <w:rsid w:val="0008067F"/>
    <w:rsid w:val="000B0124"/>
    <w:rsid w:val="000D4898"/>
    <w:rsid w:val="000F05F3"/>
    <w:rsid w:val="001456BA"/>
    <w:rsid w:val="0016496F"/>
    <w:rsid w:val="0017363F"/>
    <w:rsid w:val="001C6ABC"/>
    <w:rsid w:val="001C7AF6"/>
    <w:rsid w:val="001D763C"/>
    <w:rsid w:val="00260066"/>
    <w:rsid w:val="0030434E"/>
    <w:rsid w:val="0032277A"/>
    <w:rsid w:val="00375F4A"/>
    <w:rsid w:val="003762B6"/>
    <w:rsid w:val="00415C88"/>
    <w:rsid w:val="00420BDE"/>
    <w:rsid w:val="00434435"/>
    <w:rsid w:val="004E5464"/>
    <w:rsid w:val="00505899"/>
    <w:rsid w:val="005B2A6D"/>
    <w:rsid w:val="005D3E7A"/>
    <w:rsid w:val="005F349F"/>
    <w:rsid w:val="00627C94"/>
    <w:rsid w:val="006438FF"/>
    <w:rsid w:val="00646CF3"/>
    <w:rsid w:val="00652BAA"/>
    <w:rsid w:val="00683481"/>
    <w:rsid w:val="006B10BE"/>
    <w:rsid w:val="006B7799"/>
    <w:rsid w:val="006C662F"/>
    <w:rsid w:val="006E5C64"/>
    <w:rsid w:val="006F53BD"/>
    <w:rsid w:val="007023F9"/>
    <w:rsid w:val="007773F2"/>
    <w:rsid w:val="007922DF"/>
    <w:rsid w:val="007A6A34"/>
    <w:rsid w:val="007A7DCD"/>
    <w:rsid w:val="007C68F0"/>
    <w:rsid w:val="00812065"/>
    <w:rsid w:val="00830AFA"/>
    <w:rsid w:val="00860B20"/>
    <w:rsid w:val="00875E83"/>
    <w:rsid w:val="00896BEE"/>
    <w:rsid w:val="008A2958"/>
    <w:rsid w:val="008B1913"/>
    <w:rsid w:val="008D6FF3"/>
    <w:rsid w:val="008F7BCB"/>
    <w:rsid w:val="009267E0"/>
    <w:rsid w:val="00973971"/>
    <w:rsid w:val="00992EC3"/>
    <w:rsid w:val="009A3726"/>
    <w:rsid w:val="009D2F79"/>
    <w:rsid w:val="00A4673D"/>
    <w:rsid w:val="00B024A1"/>
    <w:rsid w:val="00B21145"/>
    <w:rsid w:val="00B72D0B"/>
    <w:rsid w:val="00B8303A"/>
    <w:rsid w:val="00BB28C2"/>
    <w:rsid w:val="00BD77A0"/>
    <w:rsid w:val="00BF1E63"/>
    <w:rsid w:val="00C07918"/>
    <w:rsid w:val="00C57095"/>
    <w:rsid w:val="00C602C1"/>
    <w:rsid w:val="00C655AC"/>
    <w:rsid w:val="00C664E7"/>
    <w:rsid w:val="00C80028"/>
    <w:rsid w:val="00CB01FF"/>
    <w:rsid w:val="00CC2C28"/>
    <w:rsid w:val="00CC3C07"/>
    <w:rsid w:val="00D27557"/>
    <w:rsid w:val="00D41F17"/>
    <w:rsid w:val="00D443BA"/>
    <w:rsid w:val="00D44D14"/>
    <w:rsid w:val="00D678D1"/>
    <w:rsid w:val="00D72066"/>
    <w:rsid w:val="00D95053"/>
    <w:rsid w:val="00D9617A"/>
    <w:rsid w:val="00DC158A"/>
    <w:rsid w:val="00E02BA7"/>
    <w:rsid w:val="00E80442"/>
    <w:rsid w:val="00E90CD7"/>
    <w:rsid w:val="00EB788A"/>
    <w:rsid w:val="00EC3B7F"/>
    <w:rsid w:val="00ED573A"/>
    <w:rsid w:val="00EE4E53"/>
    <w:rsid w:val="00F06AE9"/>
    <w:rsid w:val="00F0792F"/>
    <w:rsid w:val="00F30BAC"/>
    <w:rsid w:val="00F3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E6BC"/>
  <w15:docId w15:val="{F93D6B42-B05C-4C8A-B0D3-9E2C74660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6B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2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F7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C2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96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6BEE"/>
  </w:style>
  <w:style w:type="paragraph" w:styleId="a9">
    <w:name w:val="footer"/>
    <w:basedOn w:val="a"/>
    <w:link w:val="aa"/>
    <w:uiPriority w:val="99"/>
    <w:unhideWhenUsed/>
    <w:rsid w:val="00896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6BEE"/>
  </w:style>
  <w:style w:type="table" w:customStyle="1" w:styleId="TableStyle0">
    <w:name w:val="TableStyle0"/>
    <w:rsid w:val="00F0792F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5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6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Николавна Латухина</dc:creator>
  <cp:keywords/>
  <dc:description/>
  <cp:lastModifiedBy>Калинина Мария Андреевна</cp:lastModifiedBy>
  <cp:revision>63</cp:revision>
  <cp:lastPrinted>2025-06-19T11:46:00Z</cp:lastPrinted>
  <dcterms:created xsi:type="dcterms:W3CDTF">2019-04-18T13:33:00Z</dcterms:created>
  <dcterms:modified xsi:type="dcterms:W3CDTF">2025-06-19T12:09:00Z</dcterms:modified>
</cp:coreProperties>
</file>