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6A2323">
        <w:rPr>
          <w:rFonts w:ascii="Times New Roman" w:hAnsi="Times New Roman"/>
          <w:color w:val="000000" w:themeColor="text1"/>
          <w:szCs w:val="22"/>
        </w:rPr>
        <w:t>июня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05175">
        <w:rPr>
          <w:rFonts w:ascii="Times New Roman" w:hAnsi="Times New Roman"/>
          <w:color w:val="auto"/>
          <w:szCs w:val="22"/>
        </w:rPr>
        <w:t>сельского поселения «</w:t>
      </w:r>
      <w:proofErr w:type="spellStart"/>
      <w:r w:rsidR="00905175">
        <w:rPr>
          <w:rFonts w:ascii="Times New Roman" w:hAnsi="Times New Roman"/>
          <w:color w:val="auto"/>
          <w:szCs w:val="22"/>
        </w:rPr>
        <w:t>Черемушское</w:t>
      </w:r>
      <w:proofErr w:type="spellEnd"/>
      <w:r w:rsidR="00905175">
        <w:rPr>
          <w:rFonts w:ascii="Times New Roman" w:hAnsi="Times New Roman"/>
          <w:color w:val="auto"/>
          <w:szCs w:val="22"/>
        </w:rPr>
        <w:t xml:space="preserve">» </w:t>
      </w:r>
      <w:proofErr w:type="spellStart"/>
      <w:r w:rsidR="00905175">
        <w:rPr>
          <w:rFonts w:ascii="Times New Roman" w:hAnsi="Times New Roman"/>
          <w:color w:val="auto"/>
          <w:szCs w:val="22"/>
        </w:rPr>
        <w:t>Котласского</w:t>
      </w:r>
      <w:proofErr w:type="spellEnd"/>
      <w:r w:rsidR="00905175">
        <w:rPr>
          <w:rFonts w:ascii="Times New Roman" w:hAnsi="Times New Roman"/>
          <w:color w:val="auto"/>
          <w:szCs w:val="22"/>
        </w:rPr>
        <w:t xml:space="preserve"> муниципального района Архангельской области,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05175">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905175">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6A2323">
        <w:rPr>
          <w:rFonts w:ascii="Times New Roman" w:hAnsi="Times New Roman"/>
          <w:color w:val="auto"/>
          <w:szCs w:val="22"/>
        </w:rPr>
        <w:t>20.06</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6A2323">
        <w:rPr>
          <w:rFonts w:ascii="Times New Roman" w:hAnsi="Times New Roman"/>
          <w:color w:val="auto"/>
          <w:szCs w:val="22"/>
        </w:rPr>
        <w:t>319</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05175">
        <w:rPr>
          <w:rFonts w:ascii="Times New Roman" w:hAnsi="Times New Roman"/>
          <w:color w:val="auto"/>
          <w:szCs w:val="22"/>
        </w:rPr>
        <w:t>ведения личного подсобного хозяйства</w:t>
      </w:r>
      <w:r w:rsidR="00181B4E">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181B4E">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181B4E">
        <w:rPr>
          <w:rFonts w:ascii="Times New Roman" w:hAnsi="Times New Roman"/>
          <w:color w:val="auto"/>
          <w:szCs w:val="22"/>
        </w:rPr>
        <w:t xml:space="preserve">муниципальный округ </w:t>
      </w:r>
      <w:proofErr w:type="spellStart"/>
      <w:r w:rsidR="008C5F0A" w:rsidRPr="009507F7">
        <w:rPr>
          <w:rFonts w:ascii="Times New Roman" w:hAnsi="Times New Roman"/>
          <w:color w:val="auto"/>
          <w:szCs w:val="22"/>
        </w:rPr>
        <w:t>Котласский</w:t>
      </w:r>
      <w:proofErr w:type="spellEnd"/>
      <w:r w:rsidR="00843B2F" w:rsidRPr="009507F7">
        <w:rPr>
          <w:rFonts w:ascii="Times New Roman" w:hAnsi="Times New Roman"/>
          <w:color w:val="auto"/>
          <w:szCs w:val="22"/>
        </w:rPr>
        <w:t xml:space="preserve">, </w:t>
      </w:r>
      <w:r w:rsidR="00181B4E">
        <w:rPr>
          <w:rFonts w:ascii="Times New Roman" w:hAnsi="Times New Roman"/>
          <w:color w:val="auto"/>
          <w:szCs w:val="22"/>
        </w:rPr>
        <w:t xml:space="preserve">поселок </w:t>
      </w:r>
      <w:proofErr w:type="spellStart"/>
      <w:r w:rsidR="00181B4E">
        <w:rPr>
          <w:rFonts w:ascii="Times New Roman" w:hAnsi="Times New Roman"/>
          <w:color w:val="auto"/>
          <w:szCs w:val="22"/>
        </w:rPr>
        <w:t>Черемушский</w:t>
      </w:r>
      <w:proofErr w:type="spellEnd"/>
      <w:r w:rsidR="00181B4E">
        <w:rPr>
          <w:rFonts w:ascii="Times New Roman" w:hAnsi="Times New Roman"/>
          <w:color w:val="auto"/>
          <w:szCs w:val="22"/>
        </w:rPr>
        <w:t>, переулок Рабочий,   земельный участок 4Б</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181B4E">
        <w:rPr>
          <w:rFonts w:ascii="Times New Roman" w:hAnsi="Times New Roman"/>
          <w:color w:val="auto"/>
          <w:spacing w:val="1"/>
          <w:szCs w:val="22"/>
        </w:rPr>
        <w:t>1802</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181B4E">
        <w:rPr>
          <w:rFonts w:ascii="Times New Roman" w:hAnsi="Times New Roman"/>
          <w:color w:val="auto"/>
          <w:spacing w:val="1"/>
          <w:szCs w:val="22"/>
        </w:rPr>
        <w:t>4058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181B4E">
        <w:rPr>
          <w:rFonts w:ascii="Times New Roman" w:hAnsi="Times New Roman"/>
          <w:color w:val="auto"/>
          <w:spacing w:val="1"/>
          <w:szCs w:val="22"/>
        </w:rPr>
        <w:t>1000</w:t>
      </w:r>
      <w:r w:rsidRPr="009507F7">
        <w:rPr>
          <w:rFonts w:ascii="Times New Roman" w:hAnsi="Times New Roman"/>
          <w:color w:val="auto"/>
          <w:spacing w:val="1"/>
          <w:szCs w:val="22"/>
        </w:rPr>
        <w:t xml:space="preserve"> (</w:t>
      </w:r>
      <w:r w:rsidR="00181B4E">
        <w:rPr>
          <w:rFonts w:ascii="Times New Roman" w:hAnsi="Times New Roman"/>
          <w:color w:val="auto"/>
          <w:spacing w:val="1"/>
          <w:szCs w:val="22"/>
        </w:rPr>
        <w:t>Одна тысяча</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905175">
        <w:rPr>
          <w:rFonts w:ascii="Times New Roman" w:hAnsi="Times New Roman"/>
          <w:color w:val="auto"/>
          <w:szCs w:val="22"/>
        </w:rPr>
        <w:t>ведение личного подсобного хозяйства</w:t>
      </w:r>
      <w:r w:rsidR="00181B4E">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181B4E">
        <w:rPr>
          <w:rFonts w:ascii="Times New Roman" w:hAnsi="Times New Roman"/>
          <w:color w:val="auto"/>
          <w:szCs w:val="22"/>
        </w:rPr>
        <w:t>отсутствует</w:t>
      </w:r>
    </w:p>
    <w:p w:rsidR="00F512F9" w:rsidRPr="009507F7" w:rsidRDefault="00181B4E" w:rsidP="00905175">
      <w:pPr>
        <w:pStyle w:val="af3"/>
        <w:spacing w:after="0" w:line="240" w:lineRule="auto"/>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905175" w:rsidP="00905175">
      <w:pPr>
        <w:spacing w:after="0" w:line="240" w:lineRule="auto"/>
        <w:ind w:firstLine="567"/>
        <w:rPr>
          <w:rFonts w:ascii="Times New Roman" w:hAnsi="Times New Roman"/>
          <w:b/>
          <w:color w:val="auto"/>
          <w:szCs w:val="22"/>
          <w:u w:val="single"/>
        </w:rPr>
      </w:pPr>
      <w:r w:rsidRPr="00905175">
        <w:rPr>
          <w:rFonts w:ascii="Times New Roman" w:hAnsi="Times New Roman"/>
          <w:bCs/>
          <w:color w:val="auto"/>
          <w:sz w:val="20"/>
        </w:rPr>
        <w:t xml:space="preserve">Получена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225C0B">
        <w:rPr>
          <w:rFonts w:ascii="Times New Roman" w:hAnsi="Times New Roman"/>
          <w:color w:val="auto"/>
          <w:szCs w:val="22"/>
        </w:rPr>
        <w:t>30</w:t>
      </w:r>
      <w:r w:rsidR="00CD0641" w:rsidRPr="009507F7">
        <w:rPr>
          <w:rFonts w:ascii="Times New Roman" w:hAnsi="Times New Roman"/>
          <w:color w:val="auto"/>
          <w:szCs w:val="22"/>
        </w:rPr>
        <w:t>/01/202</w:t>
      </w:r>
      <w:r w:rsidR="00225C0B">
        <w:rPr>
          <w:rFonts w:ascii="Times New Roman" w:hAnsi="Times New Roman"/>
          <w:color w:val="auto"/>
          <w:szCs w:val="22"/>
        </w:rPr>
        <w:t>4</w:t>
      </w:r>
      <w:r w:rsidRPr="009507F7">
        <w:rPr>
          <w:rFonts w:ascii="Times New Roman" w:hAnsi="Times New Roman"/>
          <w:color w:val="auto"/>
          <w:szCs w:val="22"/>
        </w:rPr>
        <w:t xml:space="preserve"> от </w:t>
      </w:r>
      <w:r w:rsidR="00225C0B">
        <w:rPr>
          <w:rFonts w:ascii="Times New Roman" w:hAnsi="Times New Roman"/>
          <w:color w:val="auto"/>
          <w:szCs w:val="22"/>
        </w:rPr>
        <w:t>27.03.2024</w:t>
      </w:r>
      <w:r w:rsidRPr="009507F7">
        <w:rPr>
          <w:rFonts w:ascii="Times New Roman" w:hAnsi="Times New Roman"/>
          <w:color w:val="auto"/>
          <w:szCs w:val="22"/>
        </w:rPr>
        <w:t xml:space="preserve"> г.  и составляет: </w:t>
      </w:r>
      <w:r w:rsidR="00225C0B">
        <w:rPr>
          <w:rFonts w:ascii="Times New Roman" w:hAnsi="Times New Roman"/>
          <w:b/>
          <w:color w:val="auto"/>
          <w:szCs w:val="22"/>
        </w:rPr>
        <w:t>14</w:t>
      </w:r>
      <w:r w:rsidR="00FE2205" w:rsidRPr="009507F7">
        <w:rPr>
          <w:rFonts w:ascii="Times New Roman" w:hAnsi="Times New Roman"/>
          <w:b/>
          <w:color w:val="auto"/>
          <w:szCs w:val="22"/>
        </w:rPr>
        <w:t>000</w:t>
      </w:r>
      <w:r w:rsidRPr="009507F7">
        <w:rPr>
          <w:rFonts w:ascii="Times New Roman" w:hAnsi="Times New Roman"/>
          <w:b/>
          <w:color w:val="auto"/>
          <w:szCs w:val="22"/>
        </w:rPr>
        <w:t xml:space="preserve"> (</w:t>
      </w:r>
      <w:r w:rsidR="00225C0B">
        <w:rPr>
          <w:rFonts w:ascii="Times New Roman" w:hAnsi="Times New Roman"/>
          <w:b/>
          <w:color w:val="auto"/>
          <w:szCs w:val="22"/>
        </w:rPr>
        <w:t>Четырнадцать</w:t>
      </w:r>
      <w:r w:rsidR="00694F83">
        <w:rPr>
          <w:rFonts w:ascii="Times New Roman" w:hAnsi="Times New Roman"/>
          <w:b/>
          <w:color w:val="auto"/>
          <w:szCs w:val="22"/>
        </w:rPr>
        <w:t xml:space="preserve"> тысяч</w:t>
      </w:r>
      <w:r w:rsidRPr="009507F7">
        <w:rPr>
          <w:rFonts w:ascii="Times New Roman" w:hAnsi="Times New Roman"/>
          <w:b/>
          <w:color w:val="auto"/>
          <w:szCs w:val="22"/>
        </w:rPr>
        <w:t xml:space="preserve">) руб. </w:t>
      </w:r>
      <w:r w:rsidR="00225C0B">
        <w:rPr>
          <w:rFonts w:ascii="Times New Roman" w:hAnsi="Times New Roman"/>
          <w:b/>
          <w:color w:val="auto"/>
          <w:szCs w:val="22"/>
        </w:rPr>
        <w:t xml:space="preserve"> </w:t>
      </w:r>
      <w:r w:rsidRPr="009507F7">
        <w:rPr>
          <w:rFonts w:ascii="Times New Roman" w:hAnsi="Times New Roman"/>
          <w:b/>
          <w:color w:val="auto"/>
          <w:szCs w:val="22"/>
        </w:rPr>
        <w:t>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007D7AB7">
        <w:rPr>
          <w:rFonts w:ascii="Times New Roman" w:hAnsi="Times New Roman"/>
          <w:color w:val="000000" w:themeColor="text1"/>
          <w:szCs w:val="22"/>
        </w:rPr>
        <w:t xml:space="preserve"> </w:t>
      </w:r>
      <w:r w:rsidR="007D7AB7">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225C0B">
        <w:rPr>
          <w:rFonts w:ascii="Times New Roman" w:hAnsi="Times New Roman"/>
          <w:b/>
          <w:color w:val="000000" w:themeColor="text1"/>
          <w:szCs w:val="22"/>
        </w:rPr>
        <w:t xml:space="preserve">                 </w:t>
      </w:r>
      <w:r w:rsidR="007D7AB7">
        <w:rPr>
          <w:rFonts w:ascii="Times New Roman" w:hAnsi="Times New Roman"/>
          <w:b/>
          <w:color w:val="000000" w:themeColor="text1"/>
          <w:szCs w:val="22"/>
        </w:rPr>
        <w:t>29.07</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225C0B">
        <w:rPr>
          <w:rFonts w:ascii="Times New Roman" w:hAnsi="Times New Roman"/>
          <w:b/>
          <w:color w:val="auto"/>
          <w:szCs w:val="22"/>
        </w:rPr>
        <w:t>2800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94F83">
        <w:rPr>
          <w:rFonts w:ascii="Times New Roman" w:hAnsi="Times New Roman"/>
          <w:b/>
          <w:color w:val="auto"/>
          <w:szCs w:val="22"/>
        </w:rPr>
        <w:t xml:space="preserve">Две тысячи </w:t>
      </w:r>
      <w:r w:rsidR="00225C0B">
        <w:rPr>
          <w:rFonts w:ascii="Times New Roman" w:hAnsi="Times New Roman"/>
          <w:b/>
          <w:color w:val="auto"/>
          <w:szCs w:val="22"/>
        </w:rPr>
        <w:t>восемьсот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w:t>
      </w:r>
      <w:r w:rsidR="007D7AB7">
        <w:rPr>
          <w:rFonts w:ascii="Times New Roman" w:hAnsi="Times New Roman"/>
          <w:color w:val="000000" w:themeColor="text1"/>
          <w:szCs w:val="22"/>
        </w:rPr>
        <w:t xml:space="preserve">е участников аукциона состоится </w:t>
      </w:r>
      <w:r w:rsidR="007D7AB7">
        <w:rPr>
          <w:rFonts w:ascii="Times New Roman" w:hAnsi="Times New Roman"/>
          <w:b/>
          <w:color w:val="000000" w:themeColor="text1"/>
          <w:szCs w:val="22"/>
        </w:rPr>
        <w:t>29.07</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7D7AB7">
        <w:rPr>
          <w:rFonts w:ascii="Times New Roman" w:hAnsi="Times New Roman"/>
          <w:b/>
          <w:color w:val="000000" w:themeColor="text1"/>
          <w:szCs w:val="22"/>
        </w:rPr>
        <w:t>30.07</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bookmarkStart w:id="0" w:name="_GoBack"/>
      <w:bookmarkEnd w:id="0"/>
      <w:r w:rsidR="007D7AB7">
        <w:rPr>
          <w:rFonts w:ascii="Times New Roman" w:hAnsi="Times New Roman"/>
          <w:b/>
          <w:color w:val="000000" w:themeColor="text1"/>
          <w:szCs w:val="22"/>
        </w:rPr>
        <w:t>10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225C0B">
        <w:rPr>
          <w:rFonts w:ascii="Times New Roman" w:hAnsi="Times New Roman"/>
          <w:b/>
          <w:color w:val="000000" w:themeColor="text1"/>
          <w:szCs w:val="22"/>
        </w:rPr>
        <w:t>420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225C0B">
        <w:rPr>
          <w:rFonts w:ascii="Times New Roman" w:hAnsi="Times New Roman"/>
          <w:b/>
          <w:color w:val="000000" w:themeColor="text1"/>
          <w:szCs w:val="22"/>
        </w:rPr>
        <w:t>Четыреста двадц</w:t>
      </w:r>
      <w:r w:rsidR="0021664C">
        <w:rPr>
          <w:rFonts w:ascii="Times New Roman" w:hAnsi="Times New Roman"/>
          <w:b/>
          <w:color w:val="000000" w:themeColor="text1"/>
          <w:szCs w:val="22"/>
        </w:rPr>
        <w:t>а</w:t>
      </w:r>
      <w:r w:rsidR="00225C0B">
        <w:rPr>
          <w:rFonts w:ascii="Times New Roman" w:hAnsi="Times New Roman"/>
          <w:b/>
          <w:color w:val="000000" w:themeColor="text1"/>
          <w:szCs w:val="22"/>
        </w:rPr>
        <w:t>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7D7AB7">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81B4E"/>
    <w:rsid w:val="001D07F7"/>
    <w:rsid w:val="00206C0B"/>
    <w:rsid w:val="0021664C"/>
    <w:rsid w:val="00225C0B"/>
    <w:rsid w:val="002607E7"/>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94F83"/>
    <w:rsid w:val="006A2323"/>
    <w:rsid w:val="006A2829"/>
    <w:rsid w:val="006B06C9"/>
    <w:rsid w:val="006E6FEC"/>
    <w:rsid w:val="006E76AF"/>
    <w:rsid w:val="006F26A7"/>
    <w:rsid w:val="00734D68"/>
    <w:rsid w:val="007C4677"/>
    <w:rsid w:val="007D7AB7"/>
    <w:rsid w:val="00804AA0"/>
    <w:rsid w:val="00843B2F"/>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4635E"/>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11</Pages>
  <Words>6514</Words>
  <Characters>37134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37</cp:revision>
  <cp:lastPrinted>2024-06-24T13:39:00Z</cp:lastPrinted>
  <dcterms:created xsi:type="dcterms:W3CDTF">2023-07-12T15:03:00Z</dcterms:created>
  <dcterms:modified xsi:type="dcterms:W3CDTF">2024-06-27T08:26:00Z</dcterms:modified>
</cp:coreProperties>
</file>