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8FD" w:rsidRPr="005F6A4A" w:rsidRDefault="00C128FD" w:rsidP="00C128FD">
      <w:pPr>
        <w:jc w:val="center"/>
        <w:rPr>
          <w:rFonts w:eastAsia="Calibri"/>
          <w:b/>
          <w:lang w:eastAsia="en-US"/>
        </w:rPr>
      </w:pPr>
      <w:r w:rsidRPr="005F6A4A">
        <w:rPr>
          <w:rFonts w:eastAsia="Calibri"/>
          <w:b/>
          <w:lang w:eastAsia="en-US"/>
        </w:rPr>
        <w:t>Информационное сообщение</w:t>
      </w:r>
    </w:p>
    <w:p w:rsidR="00C128FD" w:rsidRPr="005F6A4A" w:rsidRDefault="00C128FD" w:rsidP="00C128FD">
      <w:pPr>
        <w:jc w:val="center"/>
        <w:rPr>
          <w:rFonts w:eastAsia="Calibri"/>
          <w:b/>
          <w:lang w:eastAsia="en-US"/>
        </w:rPr>
      </w:pPr>
      <w:r w:rsidRPr="005F6A4A">
        <w:rPr>
          <w:rFonts w:eastAsia="Calibri"/>
          <w:b/>
          <w:lang w:eastAsia="en-US"/>
        </w:rPr>
        <w:t>о проведен</w:t>
      </w:r>
      <w:proofErr w:type="gramStart"/>
      <w:r w:rsidRPr="005F6A4A">
        <w:rPr>
          <w:rFonts w:eastAsia="Calibri"/>
          <w:b/>
          <w:lang w:eastAsia="en-US"/>
        </w:rPr>
        <w:t>ии ау</w:t>
      </w:r>
      <w:proofErr w:type="gramEnd"/>
      <w:r w:rsidRPr="005F6A4A">
        <w:rPr>
          <w:rFonts w:eastAsia="Calibri"/>
          <w:b/>
          <w:lang w:eastAsia="en-US"/>
        </w:rPr>
        <w:t>кциона в электронной форме по продаже муниципального имущества</w:t>
      </w:r>
    </w:p>
    <w:p w:rsidR="00C128FD" w:rsidRDefault="00C128FD" w:rsidP="00C128FD">
      <w:pPr>
        <w:jc w:val="center"/>
        <w:rPr>
          <w:rFonts w:ascii="Calibri" w:eastAsia="Calibri" w:hAnsi="Calibri"/>
          <w:sz w:val="22"/>
          <w:szCs w:val="22"/>
          <w:lang w:eastAsia="en-US"/>
        </w:rPr>
      </w:pPr>
      <w:bookmarkStart w:id="0" w:name="_GoBack"/>
      <w:bookmarkEnd w:id="0"/>
    </w:p>
    <w:tbl>
      <w:tblPr>
        <w:tblW w:w="949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826"/>
        <w:gridCol w:w="5101"/>
      </w:tblGrid>
      <w:tr w:rsidR="00C128FD" w:rsidTr="00C128FD">
        <w:trPr>
          <w:trHeight w:val="33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Вид торгов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Продажа (приватизация) государственного или муниципального имущества</w:t>
            </w:r>
          </w:p>
          <w:p w:rsidR="00C128FD" w:rsidRDefault="00C128FD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(в соответствии с Федеральным законом от 21.12.2001 № 178-ФЗ, далее – Федеральный закон о приватизации)</w:t>
            </w:r>
          </w:p>
        </w:tc>
      </w:tr>
      <w:tr w:rsidR="00C128FD" w:rsidTr="00C128FD">
        <w:trPr>
          <w:trHeight w:val="33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Форма проведения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Электронный аукцион</w:t>
            </w:r>
          </w:p>
        </w:tc>
      </w:tr>
      <w:tr w:rsidR="00C128FD" w:rsidTr="00C128FD">
        <w:trPr>
          <w:trHeight w:val="4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Наименование процедуры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Аукцион в электронной форме по продаже муниципального имущества.</w:t>
            </w:r>
          </w:p>
        </w:tc>
      </w:tr>
      <w:tr w:rsidR="00C128FD" w:rsidTr="00C128FD">
        <w:trPr>
          <w:trHeight w:val="5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Электронная площадка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Электронная площадка АО «Единая электронная торговая площадка» по адресу в информационно-телекоммуникационной сети «Интернет»: </w:t>
            </w:r>
            <w:hyperlink r:id="rId5" w:history="1">
              <w:r>
                <w:rPr>
                  <w:rStyle w:val="a3"/>
                  <w:bCs/>
                  <w:sz w:val="20"/>
                  <w:szCs w:val="20"/>
                  <w:lang w:eastAsia="en-US"/>
                </w:rPr>
                <w:t>www.roseltorg.ru</w:t>
              </w:r>
            </w:hyperlink>
          </w:p>
        </w:tc>
      </w:tr>
      <w:tr w:rsidR="00C128FD" w:rsidTr="00C128FD">
        <w:trPr>
          <w:trHeight w:val="5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Особенности проведения торгов в соответствии с нормативным правовым актом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Отсутствуют</w:t>
            </w:r>
          </w:p>
        </w:tc>
      </w:tr>
      <w:tr w:rsidR="00C128FD" w:rsidTr="00C128FD">
        <w:trPr>
          <w:trHeight w:val="5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FD" w:rsidRDefault="00C128FD">
            <w:pPr>
              <w:spacing w:line="276" w:lineRule="auto"/>
              <w:mirrorIndents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Организатор торгов</w:t>
            </w:r>
          </w:p>
          <w:p w:rsidR="00C128FD" w:rsidRDefault="00C128FD">
            <w:pPr>
              <w:spacing w:line="276" w:lineRule="auto"/>
              <w:mirrorIndents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УПРАВЛЕНИЕ ИМУЩЕСТВЕННО-ХОЗЯЙСТВЕННОГО </w:t>
            </w:r>
          </w:p>
          <w:p w:rsidR="00C128FD" w:rsidRDefault="00C128F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КОМПЛЕКСА АДМИНИСТРАЦИИ КОТЛАССКОГО МУНИЦИПАЛЬНОГО ОКРУГА АРХАНГЕЛЬСКОЙ ОБЛАСТИ</w:t>
            </w:r>
          </w:p>
          <w:p w:rsidR="00C128FD" w:rsidRDefault="00C128FD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Юридический адрес: 165320, Архангельская область, </w:t>
            </w: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Котласский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муниципальный округ,</w:t>
            </w:r>
          </w:p>
          <w:p w:rsidR="00C128FD" w:rsidRDefault="00C128FD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рп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. Шипицыно, ул. </w:t>
            </w:r>
            <w:proofErr w:type="gramStart"/>
            <w:r>
              <w:rPr>
                <w:rFonts w:eastAsiaTheme="minorHAnsi"/>
                <w:sz w:val="20"/>
                <w:szCs w:val="20"/>
                <w:lang w:eastAsia="en-US"/>
              </w:rPr>
              <w:t>Советская</w:t>
            </w:r>
            <w:proofErr w:type="gram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зд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. 53 </w:t>
            </w:r>
          </w:p>
          <w:p w:rsidR="00C128FD" w:rsidRDefault="00C128F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Почтовый адрес: 165300, Архангельская область, </w:t>
            </w:r>
            <w:proofErr w:type="spellStart"/>
            <w:r>
              <w:rPr>
                <w:sz w:val="20"/>
                <w:szCs w:val="20"/>
                <w:lang w:eastAsia="en-US"/>
              </w:rPr>
              <w:t>Котласский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район,  г. Котлас, пл. Советов, 9.</w:t>
            </w:r>
          </w:p>
          <w:p w:rsidR="00C128FD" w:rsidRDefault="00C128FD">
            <w:pPr>
              <w:spacing w:line="276" w:lineRule="auto"/>
              <w:mirrorIndents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тел. (81837) 2-12-03, 2-12-58     </w:t>
            </w:r>
          </w:p>
          <w:p w:rsidR="00C128FD" w:rsidRDefault="00C128FD">
            <w:pPr>
              <w:spacing w:line="276" w:lineRule="auto"/>
              <w:mirrorIndents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E</w:t>
            </w:r>
            <w:r>
              <w:rPr>
                <w:sz w:val="20"/>
                <w:szCs w:val="20"/>
                <w:lang w:eastAsia="en-US"/>
              </w:rPr>
              <w:t>-</w:t>
            </w:r>
            <w:r>
              <w:rPr>
                <w:sz w:val="20"/>
                <w:szCs w:val="20"/>
                <w:lang w:val="en-US" w:eastAsia="en-US"/>
              </w:rPr>
              <w:t>mail</w:t>
            </w:r>
            <w:r>
              <w:rPr>
                <w:sz w:val="20"/>
                <w:szCs w:val="20"/>
                <w:lang w:eastAsia="en-US"/>
              </w:rPr>
              <w:t xml:space="preserve">: </w:t>
            </w:r>
            <w:hyperlink r:id="rId6" w:history="1">
              <w:r>
                <w:rPr>
                  <w:rStyle w:val="a3"/>
                  <w:color w:val="auto"/>
                  <w:sz w:val="20"/>
                  <w:szCs w:val="20"/>
                  <w:u w:val="none"/>
                  <w:lang w:val="en-US" w:eastAsia="en-US"/>
                </w:rPr>
                <w:t>uihkkotreg</w:t>
              </w:r>
              <w:r>
                <w:rPr>
                  <w:rStyle w:val="a3"/>
                  <w:color w:val="auto"/>
                  <w:sz w:val="20"/>
                  <w:szCs w:val="20"/>
                  <w:u w:val="none"/>
                  <w:lang w:eastAsia="en-US"/>
                </w:rPr>
                <w:t>@</w:t>
              </w:r>
              <w:r>
                <w:rPr>
                  <w:rStyle w:val="a3"/>
                  <w:color w:val="auto"/>
                  <w:sz w:val="20"/>
                  <w:szCs w:val="20"/>
                  <w:u w:val="none"/>
                  <w:lang w:val="en-US" w:eastAsia="en-US"/>
                </w:rPr>
                <w:t>yandex</w:t>
              </w:r>
              <w:r>
                <w:rPr>
                  <w:rStyle w:val="a3"/>
                  <w:color w:val="auto"/>
                  <w:sz w:val="20"/>
                  <w:szCs w:val="20"/>
                  <w:u w:val="none"/>
                  <w:lang w:eastAsia="en-US"/>
                </w:rPr>
                <w:t>.</w:t>
              </w:r>
              <w:r>
                <w:rPr>
                  <w:rStyle w:val="a3"/>
                  <w:color w:val="auto"/>
                  <w:sz w:val="20"/>
                  <w:szCs w:val="20"/>
                  <w:u w:val="none"/>
                  <w:lang w:val="en-US" w:eastAsia="en-US"/>
                </w:rPr>
                <w:t>ru</w:t>
              </w:r>
            </w:hyperlink>
          </w:p>
          <w:p w:rsidR="00C128FD" w:rsidRDefault="00C128FD">
            <w:pPr>
              <w:spacing w:line="276" w:lineRule="auto"/>
              <w:mirrorIndents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ИНН 2904032049</w:t>
            </w:r>
          </w:p>
          <w:p w:rsidR="00C128FD" w:rsidRDefault="00C128F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Контактное лицо: Дума Юлия Евгеньевна, заведующий отделом по управлению муниципальным имуществом УИХК администрации </w:t>
            </w:r>
            <w:proofErr w:type="spellStart"/>
            <w:r>
              <w:rPr>
                <w:sz w:val="20"/>
                <w:szCs w:val="20"/>
                <w:lang w:eastAsia="en-US"/>
              </w:rPr>
              <w:t>Котласского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муниципального округа Архангельской области</w:t>
            </w:r>
          </w:p>
          <w:p w:rsidR="00C128FD" w:rsidRDefault="00C128FD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eastAsia="en-US"/>
              </w:rPr>
              <w:t>тел</w:t>
            </w:r>
            <w:r>
              <w:rPr>
                <w:sz w:val="20"/>
                <w:szCs w:val="20"/>
                <w:lang w:val="en-US" w:eastAsia="en-US"/>
              </w:rPr>
              <w:t xml:space="preserve">. (81837) 2-24-84      </w:t>
            </w:r>
          </w:p>
        </w:tc>
      </w:tr>
      <w:tr w:rsidR="00C128FD" w:rsidTr="00C128FD">
        <w:trPr>
          <w:trHeight w:val="4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Сведения о правообладателе / инициаторе торгов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jc w:val="both"/>
              <w:rPr>
                <w:rFonts w:eastAsia="Calibri"/>
                <w:snapToGrid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snapToGrid w:val="0"/>
                <w:sz w:val="20"/>
                <w:szCs w:val="20"/>
                <w:lang w:eastAsia="en-US"/>
              </w:rPr>
              <w:t>Организатор торгов является правообладателем имущества</w:t>
            </w:r>
          </w:p>
        </w:tc>
      </w:tr>
      <w:tr w:rsidR="00C128FD" w:rsidTr="00C128FD">
        <w:trPr>
          <w:trHeight w:val="5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FD" w:rsidRDefault="00C128FD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 xml:space="preserve">Уполномоченный орган </w:t>
            </w:r>
          </w:p>
          <w:p w:rsidR="00C128FD" w:rsidRDefault="00C128FD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rPr>
                <w:rFonts w:eastAsia="Calibri"/>
                <w:snapToGrid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snapToGrid w:val="0"/>
                <w:sz w:val="20"/>
                <w:szCs w:val="20"/>
                <w:lang w:eastAsia="en-US"/>
              </w:rPr>
              <w:t>Отдел конкурентной политики экономического управления</w:t>
            </w:r>
            <w:r>
              <w:rPr>
                <w:rFonts w:eastAsia="Calibri"/>
                <w:b/>
                <w:snapToGrid w:val="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napToGrid w:val="0"/>
                <w:sz w:val="20"/>
                <w:szCs w:val="20"/>
                <w:lang w:eastAsia="en-US"/>
              </w:rPr>
              <w:t xml:space="preserve">администрации </w:t>
            </w:r>
            <w:proofErr w:type="spellStart"/>
            <w:r>
              <w:rPr>
                <w:rFonts w:eastAsia="Calibri"/>
                <w:snapToGrid w:val="0"/>
                <w:sz w:val="20"/>
                <w:szCs w:val="20"/>
                <w:lang w:eastAsia="en-US"/>
              </w:rPr>
              <w:t>Котласского</w:t>
            </w:r>
            <w:proofErr w:type="spellEnd"/>
            <w:r>
              <w:rPr>
                <w:rFonts w:eastAsia="Calibri"/>
                <w:snapToGrid w:val="0"/>
                <w:sz w:val="20"/>
                <w:szCs w:val="20"/>
                <w:lang w:eastAsia="en-US"/>
              </w:rPr>
              <w:t xml:space="preserve"> муниципального округа Архангельской области.</w:t>
            </w:r>
          </w:p>
          <w:p w:rsidR="00C128FD" w:rsidRDefault="00C128FD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Почтовый адрес уполномоченного органа: 165300, Архангельская область, г. Котлас, пл. Советов, 9, кабинет 30.</w:t>
            </w:r>
          </w:p>
          <w:p w:rsidR="00C128FD" w:rsidRDefault="00C128FD">
            <w:pPr>
              <w:spacing w:line="276" w:lineRule="auto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Контактное лицо: </w:t>
            </w:r>
            <w:proofErr w:type="spellStart"/>
            <w:r>
              <w:rPr>
                <w:rFonts w:eastAsia="Calibri"/>
                <w:bCs/>
                <w:sz w:val="20"/>
                <w:szCs w:val="20"/>
                <w:lang w:eastAsia="en-US"/>
              </w:rPr>
              <w:t>Березанец</w:t>
            </w:r>
            <w:proofErr w:type="spellEnd"/>
            <w:r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Наталья Геннадьевна, заведующий отделом конкурентной политики Экономического управления администрации </w:t>
            </w:r>
            <w:proofErr w:type="spellStart"/>
            <w:r>
              <w:rPr>
                <w:rFonts w:eastAsia="Calibri"/>
                <w:bCs/>
                <w:sz w:val="20"/>
                <w:szCs w:val="20"/>
                <w:lang w:eastAsia="en-US"/>
              </w:rPr>
              <w:t>Котласского</w:t>
            </w:r>
            <w:proofErr w:type="spellEnd"/>
            <w:r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муниципального округа Архангельской области, телефон (81837) 2-04-01</w:t>
            </w:r>
          </w:p>
        </w:tc>
      </w:tr>
      <w:tr w:rsidR="00C128FD" w:rsidTr="00C128FD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 9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Основание (наименование государственного органа, органа местного самоуправления, </w:t>
            </w: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принявших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 xml:space="preserve"> решение о приватизации и реквизиты решения)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Собрание депутатов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Котласского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муниципального округа Архангельской области:   </w:t>
            </w:r>
          </w:p>
          <w:p w:rsidR="00C128FD" w:rsidRDefault="00C128FD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решение от 23.12.2022 № 54 (в редакции решения от 21.06.2024 № 239), </w:t>
            </w:r>
          </w:p>
          <w:p w:rsidR="00C128FD" w:rsidRDefault="00C128FD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Администрация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Котласского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муниципального округа Архангельской области:</w:t>
            </w:r>
          </w:p>
          <w:p w:rsidR="00C128FD" w:rsidRDefault="00C128FD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распоряжение от 01.11.2024 № 568-р</w:t>
            </w:r>
          </w:p>
        </w:tc>
      </w:tr>
      <w:tr w:rsidR="00C128FD" w:rsidTr="00C128FD">
        <w:trPr>
          <w:trHeight w:val="377"/>
        </w:trPr>
        <w:tc>
          <w:tcPr>
            <w:tcW w:w="9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bookmarkStart w:id="1" w:name="_Hlk181958818"/>
            <w:r>
              <w:rPr>
                <w:rFonts w:eastAsia="Calibri"/>
                <w:sz w:val="20"/>
                <w:szCs w:val="20"/>
                <w:lang w:eastAsia="en-US"/>
              </w:rPr>
              <w:t>ЛОТ № 1</w:t>
            </w:r>
          </w:p>
        </w:tc>
      </w:tr>
      <w:tr w:rsidR="00C128FD" w:rsidTr="00C128FD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bookmarkStart w:id="2" w:name="_Hlk181958261"/>
            <w:r>
              <w:rPr>
                <w:rFonts w:eastAsia="Calibri"/>
                <w:sz w:val="20"/>
                <w:szCs w:val="20"/>
                <w:lang w:eastAsia="en-US"/>
              </w:rPr>
              <w:t>10.1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Предмет торгов (наименование лота)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Станок фрезерный</w:t>
            </w:r>
          </w:p>
        </w:tc>
      </w:tr>
      <w:bookmarkEnd w:id="2"/>
      <w:tr w:rsidR="00C128FD" w:rsidTr="00C128FD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11.1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Описание лота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Станок фрезерный;</w:t>
            </w:r>
          </w:p>
          <w:p w:rsidR="00C128FD" w:rsidRDefault="00C128FD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Реестровый номер 6805;</w:t>
            </w:r>
          </w:p>
          <w:p w:rsidR="00C128FD" w:rsidRDefault="00C128FD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Назначение: станок учебный </w:t>
            </w:r>
          </w:p>
        </w:tc>
      </w:tr>
      <w:tr w:rsidR="00C128FD" w:rsidTr="00C128FD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12.1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Сведения о предыдущих извещениях (сообщениях)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проводились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(в течение года, предшествующего продаже)</w:t>
            </w:r>
          </w:p>
        </w:tc>
      </w:tr>
      <w:tr w:rsidR="00C128FD" w:rsidTr="00C128FD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13.1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Начальная цена, рубли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14900,00 рублей (Четырнадцать тысяч девятьсот рублей 00 копеек)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включает в себя:</w:t>
            </w:r>
          </w:p>
          <w:p w:rsidR="00C128FD" w:rsidRDefault="00C128FD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– стоимость объекта в размере 12416,67 рублей (Двенадцать тысяч четыреста шестнадцать рублей 67 копеек);</w:t>
            </w:r>
          </w:p>
          <w:p w:rsidR="00C128FD" w:rsidRDefault="00C128FD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– сумму налога на добавленную стоимость в размере 2483,33 рублей (Две тысячи четыреста восемьдесят три рубля 33 копейки)</w:t>
            </w:r>
          </w:p>
        </w:tc>
      </w:tr>
      <w:tr w:rsidR="00C128FD" w:rsidTr="00C128FD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14.1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Шаг аукциона, рубли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745,00 рублей (Семьсот сорок пять рублей 00 копеек)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  <w:p w:rsidR="00C128FD" w:rsidRDefault="00C128FD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</w:t>
            </w:r>
            <w:r>
              <w:rPr>
                <w:rFonts w:eastAsia="Calibri"/>
                <w:sz w:val="20"/>
                <w:szCs w:val="20"/>
                <w:lang w:eastAsia="en-US"/>
              </w:rPr>
              <w:t>5 процентов начальной цены продажи)</w:t>
            </w:r>
          </w:p>
        </w:tc>
      </w:tr>
      <w:tr w:rsidR="00C128FD" w:rsidTr="00C128FD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15.1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Размер задатка, рубли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1490,00 рублей (Одна тысяча четыреста девяносто  рублей 00 копеек)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  <w:p w:rsidR="00C128FD" w:rsidRDefault="00C128FD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</w:t>
            </w:r>
            <w:r>
              <w:rPr>
                <w:rFonts w:eastAsia="Calibri"/>
                <w:sz w:val="20"/>
                <w:szCs w:val="20"/>
                <w:lang w:eastAsia="en-US"/>
              </w:rPr>
              <w:t>10 процентов начальной цены продажи)</w:t>
            </w:r>
          </w:p>
        </w:tc>
      </w:tr>
      <w:tr w:rsidR="00C128FD" w:rsidTr="00C128FD">
        <w:trPr>
          <w:trHeight w:val="377"/>
        </w:trPr>
        <w:tc>
          <w:tcPr>
            <w:tcW w:w="9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ЛОТ № 2</w:t>
            </w:r>
          </w:p>
        </w:tc>
      </w:tr>
      <w:tr w:rsidR="00C128FD" w:rsidTr="00C128FD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10.2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Предмет торгов (наименование лота)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Станок фрезерный</w:t>
            </w:r>
          </w:p>
        </w:tc>
      </w:tr>
      <w:tr w:rsidR="00C128FD" w:rsidTr="00C128FD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11.2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Описание лота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Станок фрезерный;</w:t>
            </w:r>
          </w:p>
          <w:p w:rsidR="00C128FD" w:rsidRDefault="00C128FD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Реестровый номер 6806;</w:t>
            </w:r>
          </w:p>
          <w:p w:rsidR="00C128FD" w:rsidRDefault="00C128FD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Назначение: станок учебный </w:t>
            </w:r>
          </w:p>
        </w:tc>
      </w:tr>
      <w:tr w:rsidR="00C128FD" w:rsidTr="00C128FD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12.2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Сведения о предыдущих извещениях (сообщениях)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проводились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(в течение года, предшествующего продаже)</w:t>
            </w:r>
          </w:p>
        </w:tc>
      </w:tr>
      <w:tr w:rsidR="00C128FD" w:rsidTr="00C128FD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13.2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Начальная цена, рубли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8000,00 рублей (Восемь тысяч рублей 00 копеек)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включает в себя:</w:t>
            </w:r>
          </w:p>
          <w:p w:rsidR="00C128FD" w:rsidRDefault="00C128FD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– стоимость объекта в размере 6666,67 рублей (Шесть тысяч шестьсот шестьдесят шесть рублей 67 копеек);</w:t>
            </w:r>
          </w:p>
          <w:p w:rsidR="00C128FD" w:rsidRDefault="00C128FD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– сумму налога на добавленную стоимость в размере 1333,33 рублей (Одна тысяча триста тридцать три рубля 33 копейки)</w:t>
            </w:r>
          </w:p>
        </w:tc>
      </w:tr>
      <w:tr w:rsidR="00C128FD" w:rsidTr="00C128FD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14.2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Шаг аукциона, рубли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400,00 рублей (Четыреста рублей 00 копеек)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  <w:p w:rsidR="00C128FD" w:rsidRDefault="00C128FD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</w:t>
            </w:r>
            <w:r>
              <w:rPr>
                <w:rFonts w:eastAsia="Calibri"/>
                <w:sz w:val="20"/>
                <w:szCs w:val="20"/>
                <w:lang w:eastAsia="en-US"/>
              </w:rPr>
              <w:t>5 процентов начальной цены продажи)</w:t>
            </w:r>
          </w:p>
        </w:tc>
      </w:tr>
      <w:tr w:rsidR="00C128FD" w:rsidTr="00C128FD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15.2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Размер задатка, рубли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800,00 рублей (Восемьсот рублей 00 копеек)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  <w:p w:rsidR="00C128FD" w:rsidRDefault="00C128FD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</w:t>
            </w:r>
            <w:r>
              <w:rPr>
                <w:rFonts w:eastAsia="Calibri"/>
                <w:sz w:val="20"/>
                <w:szCs w:val="20"/>
                <w:lang w:eastAsia="en-US"/>
              </w:rPr>
              <w:t>10 процентов начальной цены продажи)</w:t>
            </w:r>
          </w:p>
        </w:tc>
      </w:tr>
      <w:bookmarkEnd w:id="1"/>
      <w:tr w:rsidR="00C128FD" w:rsidTr="00C128FD">
        <w:trPr>
          <w:trHeight w:val="14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Реквизиты счета для перечисления задатка</w:t>
            </w:r>
          </w:p>
        </w:tc>
        <w:tc>
          <w:tcPr>
            <w:tcW w:w="5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Перечисление задатка претендентами на участие в аукционе и порядок возврата задатка осуществляются в соответствии с Регламентом электронной площадки.</w:t>
            </w:r>
          </w:p>
          <w:p w:rsidR="00C128FD" w:rsidRDefault="00C128FD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Задаток победителя продажи или лица, признанного единственным участником аукциона, засчитывается в счет оплаты приобретаемого имущества и подлежит перечислению в бюджет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Котласского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муниципального округа Архангельской области в течение 5 календарных дней со дня истечения срока, установленного для заключения договора купли-продажи  </w:t>
            </w:r>
          </w:p>
        </w:tc>
      </w:tr>
      <w:tr w:rsidR="00C128FD" w:rsidTr="00C128FD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Назначение платежа</w:t>
            </w:r>
          </w:p>
        </w:tc>
        <w:tc>
          <w:tcPr>
            <w:tcW w:w="5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8FD" w:rsidRDefault="00C128FD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128FD" w:rsidTr="00C128FD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Срок и порядок внесения задатка</w:t>
            </w:r>
          </w:p>
        </w:tc>
        <w:tc>
          <w:tcPr>
            <w:tcW w:w="5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8FD" w:rsidRDefault="00C128FD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128FD" w:rsidTr="00C128FD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Местонахождение имущества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Имущество находится в здании мастерских, расположенном по адресу: Архангельская область,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Котласский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муниципальный округ, рабочий поселок Шипицыно, улица Школьная, дом 12</w:t>
            </w:r>
          </w:p>
        </w:tc>
      </w:tr>
      <w:tr w:rsidR="00C128FD" w:rsidTr="00C128FD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Категория объекта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Оборудование</w:t>
            </w:r>
          </w:p>
        </w:tc>
      </w:tr>
      <w:tr w:rsidR="00C128FD" w:rsidTr="00C128FD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Форма собственности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Муниципальная собственность</w:t>
            </w:r>
          </w:p>
        </w:tc>
      </w:tr>
      <w:tr w:rsidR="00C128FD" w:rsidTr="00C128FD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Порядок ознакомления с имуществом, иной информацией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Со дня приема заявок лицо, желающее приобрести муниципальное имущество, имеет право на ознакомление с информацией о подлежащем приватизации имуществе. 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</w:t>
            </w:r>
          </w:p>
          <w:p w:rsidR="00C128FD" w:rsidRDefault="00C128FD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Дата, время, место и порядок осмотра имущества: по письменной заявке заинтересованного лица.</w:t>
            </w:r>
          </w:p>
        </w:tc>
      </w:tr>
      <w:tr w:rsidR="00C128FD" w:rsidTr="00C128FD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Обременения, ограничения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Отсутствуют</w:t>
            </w:r>
          </w:p>
        </w:tc>
      </w:tr>
      <w:tr w:rsidR="00C128FD" w:rsidTr="00C128FD">
        <w:trPr>
          <w:trHeight w:val="8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Срок заключения договора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В течение пяти рабочих дней </w:t>
            </w:r>
            <w:proofErr w:type="gramStart"/>
            <w:r>
              <w:rPr>
                <w:rFonts w:eastAsiaTheme="minorHAnsi"/>
                <w:sz w:val="20"/>
                <w:szCs w:val="20"/>
                <w:lang w:eastAsia="en-US"/>
              </w:rPr>
              <w:t>с даты подведения</w:t>
            </w:r>
            <w:proofErr w:type="gram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итогов аукциона с победителем аукциона либо лицом, признанным единственным участником аукциона, заключается договор купли-продажи</w:t>
            </w: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 </w:t>
            </w:r>
          </w:p>
        </w:tc>
      </w:tr>
      <w:tr w:rsidR="00C128FD" w:rsidTr="00C128FD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Ссылка на отчет об оценке объекта оценки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Отчет об оценке рыночной стоимости движимого имущества от 28.10.2024 № 043/04/2024, подготовленный частнопрактикующим оценщиком Власовой О.А.</w:t>
            </w:r>
          </w:p>
        </w:tc>
      </w:tr>
      <w:tr w:rsidR="00C128FD" w:rsidTr="00C128FD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Характеристики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Станок фрезерный, </w:t>
            </w: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б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>/у, назначение – прямое</w:t>
            </w:r>
          </w:p>
        </w:tc>
      </w:tr>
      <w:tr w:rsidR="00C128FD" w:rsidTr="00C128FD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Требования к участникам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К участию в процедуре продажи имущества допускаются лица, признанные продавцом в соответствии с Федеральным законом о приватизации, участниками.</w:t>
            </w:r>
          </w:p>
        </w:tc>
      </w:tr>
      <w:tr w:rsidR="00C128FD" w:rsidTr="00C128FD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Перечень документов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Претенденты предоставляют заявку на участие в аукционе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образов документов, предусмотренных Федеральным законом о приватизации.</w:t>
            </w:r>
            <w:proofErr w:type="gramEnd"/>
          </w:p>
          <w:p w:rsidR="00C128FD" w:rsidRDefault="00C128FD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Одновременно с заявкой претенденты представляют следующие документы:</w:t>
            </w:r>
          </w:p>
          <w:p w:rsidR="00C128FD" w:rsidRDefault="00C128FD">
            <w:pPr>
              <w:spacing w:line="276" w:lineRule="auto"/>
              <w:mirrorIndents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юридические лица:</w:t>
            </w:r>
          </w:p>
          <w:p w:rsidR="00C128FD" w:rsidRDefault="00C128FD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 заверенные копии учредительных документов;</w:t>
            </w:r>
          </w:p>
          <w:p w:rsidR="00C128FD" w:rsidRDefault="00C128FD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      </w:r>
          </w:p>
          <w:p w:rsidR="00C128FD" w:rsidRDefault="00C128FD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      </w:r>
          </w:p>
          <w:p w:rsidR="00C128FD" w:rsidRDefault="00C128FD">
            <w:pPr>
              <w:spacing w:line="276" w:lineRule="auto"/>
              <w:mirrorIndents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физические лица:</w:t>
            </w:r>
          </w:p>
          <w:p w:rsidR="00C128FD" w:rsidRDefault="00C128FD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-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предъявляют документ, удостоверяющий личность, или представляют копии всех его листов.</w:t>
            </w:r>
          </w:p>
          <w:p w:rsidR="00C128FD" w:rsidRDefault="00C128FD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В случае</w:t>
            </w: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,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      </w: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,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      </w:r>
          </w:p>
        </w:tc>
      </w:tr>
      <w:tr w:rsidR="00C128FD" w:rsidTr="00C128FD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Требования к документам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Заявка и иные представленные одновременно с ней документы подаются в форме электронных документов. Все электронные документы, либо электронные образы документов (документов на бумажном носителе, преобразованных в электронно-цифровую форму путем сканирования с сохранением их реквизитов) должны быть заверены электронной подписью претендента или участника либо лица, имеющего право действовать от имени соответственно претендента или участника. 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участника, и отправитель несет ответственность за подлинность и достоверность таких документов и сведений.</w:t>
            </w:r>
          </w:p>
        </w:tc>
      </w:tr>
      <w:tr w:rsidR="00C128FD" w:rsidTr="00C128FD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Ограничения участия отдельных категорий физ. и юр. лиц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Покупателями муниципального имущества могут быть любые физические и юридические лица, за исключением:</w:t>
            </w:r>
          </w:p>
          <w:p w:rsidR="00C128FD" w:rsidRDefault="00C128FD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– государственных и муниципальных унитарных предприятий, государственных и муниципальных учреждений;</w:t>
            </w:r>
          </w:p>
          <w:p w:rsidR="00C128FD" w:rsidRDefault="00C128FD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–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Федерального закона о приватизации;</w:t>
            </w:r>
          </w:p>
          <w:p w:rsidR="00C128FD" w:rsidRDefault="00C128FD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 xml:space="preserve">–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бенефициарных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владельцах и контролирующих лицах в порядке, установленном Правительством Российской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 xml:space="preserve"> Федерации.</w:t>
            </w:r>
          </w:p>
        </w:tc>
      </w:tr>
      <w:tr w:rsidR="00C128FD" w:rsidTr="00C128FD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Порядок подачи заявок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Заявка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образов документов, предусмотренных Федеральным законом о приватизации.</w:t>
            </w:r>
            <w:proofErr w:type="gramEnd"/>
          </w:p>
          <w:p w:rsidR="00C128FD" w:rsidRDefault="00C128FD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Одно лицо может подать только одну заявку.</w:t>
            </w:r>
          </w:p>
          <w:p w:rsidR="00C128FD" w:rsidRDefault="00C128FD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      </w:r>
          </w:p>
          <w:p w:rsidR="00C128FD" w:rsidRDefault="00C128FD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Заявки с прилагаемыми к ним документами, а также предложения о цене имущества, поданные с нарушением установленного срока, на электронной площадке не регистрируются.</w:t>
            </w:r>
          </w:p>
        </w:tc>
      </w:tr>
      <w:tr w:rsidR="00C128FD" w:rsidTr="00C128FD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Порядок определения победителей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      </w:r>
          </w:p>
          <w:p w:rsidR="00C128FD" w:rsidRDefault="00C128FD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      </w:r>
          </w:p>
          <w:p w:rsidR="00C128FD" w:rsidRDefault="00C128FD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– 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      </w:r>
          </w:p>
          <w:p w:rsidR="00C128FD" w:rsidRDefault="00C128FD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–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      </w:r>
          </w:p>
          <w:p w:rsidR="00C128FD" w:rsidRDefault="00C128FD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Победителем признается участник, предложивший наиболее высокую цену имущества.</w:t>
            </w:r>
          </w:p>
        </w:tc>
      </w:tr>
      <w:tr w:rsidR="00C128FD" w:rsidTr="00C128FD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Место и срок подведения итогов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Подведение итогов аукциона оформляется протоколом об итогах аукциона.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протокола.</w:t>
            </w:r>
          </w:p>
        </w:tc>
      </w:tr>
      <w:tr w:rsidR="00C128FD" w:rsidTr="00C128FD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Размер и порядок выплаты вознаграждения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предусмотрено</w:t>
            </w:r>
          </w:p>
        </w:tc>
      </w:tr>
      <w:tr w:rsidR="00C128FD" w:rsidTr="00C128FD">
        <w:trPr>
          <w:trHeight w:val="2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35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Срок отказа организатора от проведения процедуры торгов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FD" w:rsidRDefault="00C128FD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Продавец вправе отказаться от проведения аукциона в сроки, предусмотренные гражданским законодательством, о чем сообщает на официальных сайтах в сети «Интернет», и возвращает претендентам (участникам аукциона) в течение 5 дней с даты принятия такого </w:t>
            </w: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решения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 xml:space="preserve"> внесенные ими задатки.</w:t>
            </w:r>
          </w:p>
        </w:tc>
      </w:tr>
    </w:tbl>
    <w:p w:rsidR="00C128FD" w:rsidRDefault="00C128FD" w:rsidP="00C128FD">
      <w:pPr>
        <w:rPr>
          <w:bCs/>
          <w:sz w:val="20"/>
          <w:szCs w:val="20"/>
        </w:rPr>
      </w:pPr>
    </w:p>
    <w:p w:rsidR="004B31D0" w:rsidRDefault="004B31D0"/>
    <w:sectPr w:rsidR="004B31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ECD"/>
    <w:rsid w:val="00243ECD"/>
    <w:rsid w:val="004B31D0"/>
    <w:rsid w:val="00C12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8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128F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128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28F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8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128F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128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28F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582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uihkkotreg@yandex.ru" TargetMode="External"/><Relationship Id="rId5" Type="http://schemas.openxmlformats.org/officeDocument/2006/relationships/hyperlink" Target="http://www.roseltorg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1816</Words>
  <Characters>10356</Characters>
  <Application>Microsoft Office Word</Application>
  <DocSecurity>0</DocSecurity>
  <Lines>86</Lines>
  <Paragraphs>24</Paragraphs>
  <ScaleCrop>false</ScaleCrop>
  <Company/>
  <LinksUpToDate>false</LinksUpToDate>
  <CharactersWithSpaces>12148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dcterms:created xsi:type="dcterms:W3CDTF">2024-12-09T11:42:00Z</dcterms:created>
  <dcterms:modified xsi:type="dcterms:W3CDTF">2024-12-09T11:43:00Z</dcterms:modified>
</cp:coreProperties>
</file>