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4C" w:rsidRDefault="00C12B4C" w:rsidP="00C12B4C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 данным территориального раздела Статистического регистра Росстата на 1 января 2024 года количество предприятий и организаций на территории муниципального округа составило 150 единиц.</w:t>
      </w:r>
    </w:p>
    <w:p w:rsidR="00C12B4C" w:rsidRDefault="00C12B4C" w:rsidP="00C12B4C">
      <w:pPr>
        <w:spacing w:before="6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 2023 год объем отгруженных товаров собственного производства, выполненных работ и услуг собственными силами организаций</w:t>
      </w:r>
      <w:proofErr w:type="gramStart"/>
      <w:r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по виду экономической деятельности </w:t>
      </w:r>
      <w:r>
        <w:rPr>
          <w:rFonts w:ascii="Arial" w:hAnsi="Arial" w:cs="Arial"/>
          <w:b/>
          <w:i/>
          <w:sz w:val="18"/>
          <w:szCs w:val="18"/>
        </w:rPr>
        <w:t>«</w:t>
      </w:r>
      <w:r>
        <w:rPr>
          <w:rFonts w:ascii="Arial" w:hAnsi="Arial"/>
          <w:b/>
          <w:i/>
          <w:sz w:val="18"/>
          <w:szCs w:val="18"/>
        </w:rPr>
        <w:t>Обеспечение электрической энергией, газом и паром; кондиционирование воздуха</w:t>
      </w:r>
      <w:r>
        <w:rPr>
          <w:rFonts w:ascii="Arial" w:hAnsi="Arial" w:cs="Arial"/>
          <w:b/>
          <w:i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 xml:space="preserve"> в действующих ценах составил </w:t>
      </w:r>
      <w:r>
        <w:rPr>
          <w:rStyle w:val="a8"/>
          <w:szCs w:val="18"/>
        </w:rPr>
        <w:t>58993</w:t>
      </w:r>
      <w:r>
        <w:rPr>
          <w:rFonts w:ascii="Arial" w:hAnsi="Arial" w:cs="Arial"/>
          <w:sz w:val="18"/>
          <w:szCs w:val="18"/>
        </w:rPr>
        <w:t xml:space="preserve"> тыс. рублей.</w:t>
      </w:r>
    </w:p>
    <w:p w:rsidR="00C12B4C" w:rsidRDefault="00C12B4C" w:rsidP="00C12B4C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Объем инвестиций в основной капитал</w:t>
      </w:r>
      <w:r>
        <w:rPr>
          <w:rFonts w:ascii="Arial" w:hAnsi="Arial" w:cs="Arial"/>
          <w:sz w:val="18"/>
          <w:szCs w:val="18"/>
        </w:rPr>
        <w:t xml:space="preserve"> организаций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январе-сентябре 2023 года использован на 1521735 тыс. рублей, что на 9,2% выше уровня соответствующего периода предыдущего года в фактически действовавших ценах.</w:t>
      </w:r>
    </w:p>
    <w:p w:rsidR="00C12B4C" w:rsidRDefault="00C12B4C" w:rsidP="00C12B4C">
      <w:pPr>
        <w:pStyle w:val="a4"/>
        <w:rPr>
          <w:szCs w:val="18"/>
        </w:rPr>
      </w:pPr>
      <w:r>
        <w:rPr>
          <w:rStyle w:val="a9"/>
          <w:szCs w:val="18"/>
        </w:rPr>
        <w:t>Жилищное строительство.</w:t>
      </w:r>
      <w:r>
        <w:rPr>
          <w:szCs w:val="18"/>
        </w:rPr>
        <w:t xml:space="preserve"> В 2023 году за счет всех источников финансирования введен </w:t>
      </w:r>
      <w:r>
        <w:rPr>
          <w:rStyle w:val="a8"/>
          <w:szCs w:val="18"/>
        </w:rPr>
        <w:t>12751</w:t>
      </w:r>
      <w:r>
        <w:rPr>
          <w:szCs w:val="18"/>
        </w:rPr>
        <w:t xml:space="preserve"> квадратный метр жилых помещений, что составляет </w:t>
      </w:r>
      <w:r>
        <w:rPr>
          <w:rStyle w:val="a8"/>
          <w:szCs w:val="18"/>
        </w:rPr>
        <w:t>92,9</w:t>
      </w:r>
      <w:r>
        <w:rPr>
          <w:szCs w:val="18"/>
        </w:rPr>
        <w:t xml:space="preserve">% от уровня 2022 года. Из общего ввода жилья индивидуальными застройщиками введено </w:t>
      </w:r>
      <w:r>
        <w:rPr>
          <w:rStyle w:val="a8"/>
          <w:szCs w:val="18"/>
        </w:rPr>
        <w:t>12043</w:t>
      </w:r>
      <w:r>
        <w:rPr>
          <w:szCs w:val="18"/>
        </w:rPr>
        <w:t xml:space="preserve"> </w:t>
      </w:r>
      <w:proofErr w:type="gramStart"/>
      <w:r>
        <w:rPr>
          <w:szCs w:val="18"/>
        </w:rPr>
        <w:t>квадратных</w:t>
      </w:r>
      <w:proofErr w:type="gramEnd"/>
      <w:r>
        <w:rPr>
          <w:szCs w:val="18"/>
        </w:rPr>
        <w:t xml:space="preserve"> метра (94,4% от общего ввода жилья), или </w:t>
      </w:r>
      <w:r>
        <w:rPr>
          <w:rStyle w:val="a8"/>
          <w:szCs w:val="18"/>
        </w:rPr>
        <w:t>92,9</w:t>
      </w:r>
      <w:r>
        <w:rPr>
          <w:szCs w:val="18"/>
        </w:rPr>
        <w:t xml:space="preserve"> % от уровня 2022 года.</w:t>
      </w:r>
    </w:p>
    <w:p w:rsidR="00C12B4C" w:rsidRDefault="00C12B4C" w:rsidP="00C12B4C">
      <w:pPr>
        <w:pStyle w:val="a4"/>
        <w:rPr>
          <w:szCs w:val="18"/>
        </w:rPr>
      </w:pPr>
      <w:r>
        <w:rPr>
          <w:b/>
          <w:i/>
          <w:szCs w:val="18"/>
        </w:rPr>
        <w:t>Строительная деятельность.</w:t>
      </w:r>
      <w:r>
        <w:rPr>
          <w:szCs w:val="18"/>
        </w:rPr>
        <w:t xml:space="preserve"> Объем работ, выполненных по виду экономической деятельности «Строительство» организациями</w:t>
      </w:r>
      <w:proofErr w:type="gramStart"/>
      <w:r>
        <w:rPr>
          <w:szCs w:val="18"/>
          <w:vertAlign w:val="superscript"/>
        </w:rPr>
        <w:t>1</w:t>
      </w:r>
      <w:proofErr w:type="gramEnd"/>
      <w:r>
        <w:rPr>
          <w:szCs w:val="18"/>
          <w:vertAlign w:val="superscript"/>
        </w:rPr>
        <w:t>)</w:t>
      </w:r>
      <w:r>
        <w:rPr>
          <w:szCs w:val="18"/>
        </w:rPr>
        <w:t xml:space="preserve">, в 2023 году составил 307045,8 тыс. рублей, что на 58,0% меньше уровня предыдущего года в действующих ценах. </w:t>
      </w:r>
    </w:p>
    <w:p w:rsidR="00C12B4C" w:rsidRDefault="00C12B4C" w:rsidP="00C12B4C">
      <w:pPr>
        <w:pStyle w:val="a4"/>
        <w:rPr>
          <w:color w:val="000000"/>
          <w:szCs w:val="18"/>
        </w:rPr>
      </w:pPr>
      <w:r>
        <w:rPr>
          <w:b/>
          <w:i/>
          <w:color w:val="000000"/>
          <w:szCs w:val="18"/>
        </w:rPr>
        <w:t>Сельское хозяйство.</w:t>
      </w:r>
      <w:r>
        <w:rPr>
          <w:b/>
          <w:i/>
          <w:color w:val="FF0000"/>
          <w:szCs w:val="18"/>
        </w:rPr>
        <w:t xml:space="preserve"> </w:t>
      </w:r>
      <w:r>
        <w:rPr>
          <w:color w:val="000000"/>
          <w:szCs w:val="18"/>
        </w:rPr>
        <w:t xml:space="preserve">В сельскохозяйственных организациях на 1 января 2024 года по сравнению с соответствующей датой 2023 года поголовье крупного рогатого скота снизилось на 10,1%, поголовье коров осталось на уровне прошлого года. </w:t>
      </w:r>
    </w:p>
    <w:p w:rsidR="00C12B4C" w:rsidRDefault="00C12B4C" w:rsidP="00C12B4C">
      <w:pPr>
        <w:pStyle w:val="a4"/>
        <w:rPr>
          <w:color w:val="000000"/>
          <w:szCs w:val="18"/>
        </w:rPr>
      </w:pPr>
      <w:r>
        <w:rPr>
          <w:color w:val="000000"/>
          <w:szCs w:val="18"/>
        </w:rPr>
        <w:t>В сельскохозяйственных организациях в 2023 году по сравнению с 2022 годом производство скота и птицы на убой (в живом весе) сократилось на 33,2%, производство молока выросло на 1,1%.</w:t>
      </w:r>
    </w:p>
    <w:p w:rsidR="00C12B4C" w:rsidRDefault="00C12B4C" w:rsidP="00C12B4C">
      <w:pPr>
        <w:spacing w:before="6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Оборот розничной торговли</w:t>
      </w:r>
      <w:r>
        <w:rPr>
          <w:rFonts w:ascii="Arial" w:hAnsi="Arial" w:cs="Arial"/>
          <w:sz w:val="18"/>
          <w:szCs w:val="18"/>
        </w:rPr>
        <w:t xml:space="preserve"> организаций</w:t>
      </w:r>
      <w:proofErr w:type="gramStart"/>
      <w:r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составил 517558 тыс. рублей, что в сопоставимых ценах на 7,1% выше, чем за 2022 год. В макроструктуре оборота розничной торговли организаций преобладающую долю занимают пищевые продукты, включая напитки, и табачные изделия – 84,5%. Кроме того, оборот общественного питания организаций</w:t>
      </w:r>
      <w:proofErr w:type="gramStart"/>
      <w:r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составил 39065 </w:t>
      </w:r>
      <w:r>
        <w:rPr>
          <w:rStyle w:val="a8"/>
          <w:szCs w:val="18"/>
        </w:rPr>
        <w:t>тыс.</w:t>
      </w:r>
      <w:r>
        <w:rPr>
          <w:rFonts w:ascii="Arial" w:hAnsi="Arial" w:cs="Arial"/>
          <w:sz w:val="18"/>
          <w:szCs w:val="18"/>
        </w:rPr>
        <w:t xml:space="preserve"> рублей (на 4,5% меньше уровня 2022 года в сопоставимых ценах).</w:t>
      </w:r>
    </w:p>
    <w:p w:rsidR="00C12B4C" w:rsidRDefault="00C12B4C" w:rsidP="00C12B4C">
      <w:pPr>
        <w:spacing w:before="6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Style w:val="a9"/>
          <w:szCs w:val="18"/>
        </w:rPr>
        <w:t>Услуги.</w:t>
      </w:r>
      <w:r>
        <w:rPr>
          <w:rFonts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Объем платных услуг, оказанных населению в 2023 году организациями</w:t>
      </w:r>
      <w:proofErr w:type="gramStart"/>
      <w:r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, составил </w:t>
      </w:r>
      <w:r>
        <w:rPr>
          <w:rStyle w:val="a8"/>
          <w:rFonts w:cs="Times New Roman"/>
          <w:color w:val="000000"/>
          <w:szCs w:val="18"/>
        </w:rPr>
        <w:t>140951</w:t>
      </w:r>
      <w:r>
        <w:rPr>
          <w:rFonts w:ascii="Arial" w:hAnsi="Arial" w:cs="Arial"/>
          <w:sz w:val="18"/>
          <w:szCs w:val="18"/>
        </w:rPr>
        <w:t xml:space="preserve"> тыс. рублей, что в действующих ценах на 8,4% больше уровня 2022 года.</w:t>
      </w:r>
    </w:p>
    <w:p w:rsidR="00C12B4C" w:rsidRDefault="00C12B4C" w:rsidP="00C12B4C">
      <w:pPr>
        <w:spacing w:before="6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Style w:val="a9"/>
          <w:szCs w:val="18"/>
        </w:rPr>
        <w:t>Оптовый рынок.</w:t>
      </w:r>
      <w:r>
        <w:rPr>
          <w:rFonts w:ascii="Arial" w:hAnsi="Arial" w:cs="Arial"/>
          <w:sz w:val="18"/>
          <w:szCs w:val="18"/>
        </w:rPr>
        <w:t xml:space="preserve"> Оборот оптовой торговли организаций</w:t>
      </w:r>
      <w:proofErr w:type="gramStart"/>
      <w:r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всех видов деятельности в 2023 году в сопоставимых ценах на 9,9% выше уровня 2022 года.</w:t>
      </w:r>
    </w:p>
    <w:p w:rsidR="00C12B4C" w:rsidRDefault="00C12B4C" w:rsidP="00C12B4C">
      <w:pPr>
        <w:spacing w:before="6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Style w:val="a9"/>
          <w:szCs w:val="18"/>
        </w:rPr>
        <w:t>Цены.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За 2023 год прирост потребительских цен по Архангельской области без Ненецкого автономного округа составил 9,0%. Опережающими темпами росли цены на услуги: за 2023 год услуги подорожали на 9,2%, товары – на 8,9%. За декабрь 2023 года прирост потребительских цен составил 1,2%, в том числе на товары – 1,8%, а на услуги – снижение цен на 0,4%. </w:t>
      </w:r>
      <w:proofErr w:type="gramEnd"/>
    </w:p>
    <w:p w:rsidR="00C12B4C" w:rsidRDefault="00C12B4C" w:rsidP="00C12B4C">
      <w:pPr>
        <w:spacing w:before="6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Стоимость условного (минимального) набора продуктов питания в расчете на месяц на 1 человека в конце декабря 2023 года в среднем по области без Ненецкого автономного округа составила 7247,8 рубля и увеличилась за месяц на 1,1%. По сравнению с декабрем 2022 года стоимость набора увеличилась на 545,3 рубля или на 8,1%.</w:t>
      </w:r>
    </w:p>
    <w:p w:rsidR="00C12B4C" w:rsidRDefault="00C12B4C" w:rsidP="00C12B4C">
      <w:pPr>
        <w:pStyle w:val="a4"/>
        <w:rPr>
          <w:szCs w:val="18"/>
        </w:rPr>
      </w:pPr>
      <w:proofErr w:type="gramStart"/>
      <w:r>
        <w:rPr>
          <w:szCs w:val="18"/>
        </w:rPr>
        <w:t>В конце декабря 2023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 мыло хозяйственное – 67,91 за 200 грамм, порошок стиральный – 192,79 за 1 килограмм, мыло туалетное – 84,39 за 100 грамм, сигареты с фильтром – 186,04 за пачку, бензин автомобильный марки АИ-92 – 50,60 за 1 литр, телевизор – 41353,45 за 1</w:t>
      </w:r>
      <w:proofErr w:type="gramEnd"/>
      <w:r>
        <w:rPr>
          <w:szCs w:val="18"/>
        </w:rPr>
        <w:t xml:space="preserve"> штуку, холодильник двухкамерный, емкостью 250-360 л – 45924,40 за 1 штуку.</w:t>
      </w:r>
    </w:p>
    <w:p w:rsidR="00C12B4C" w:rsidRDefault="00C12B4C" w:rsidP="00C12B4C">
      <w:pPr>
        <w:spacing w:before="60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В 2023 году отмечено следующее изменение цен и тарифов на услуги по Архангельской области без Ненецкого автономного округа: цены выросли на бытовые услуги на 8,8%, жилищные и коммунальные услуги (включая аренду квартир) – на 3,2%, услуги организаций культуры – на 16,3%, услуги образования – на 8,7%, медицинские услуги – на 10,6%, услуги физической культуры и спорта – на 7,8%, услуги телекоммуникационные – на 7,0%, услуги пассажирского</w:t>
      </w:r>
      <w:proofErr w:type="gramEnd"/>
      <w:r>
        <w:rPr>
          <w:rFonts w:ascii="Arial" w:hAnsi="Arial" w:cs="Arial"/>
          <w:sz w:val="18"/>
          <w:szCs w:val="18"/>
        </w:rPr>
        <w:t xml:space="preserve"> транспорта – на 12,7%, услуги в сфере туризма – на 16,1%, ветеринарные услуги – на 5,9%, услуги правового характера – на 9,0%, санаторно-оздоровительные услуги – на 9,5%, услуги банков – </w:t>
      </w:r>
      <w:proofErr w:type="gramStart"/>
      <w:r>
        <w:rPr>
          <w:rFonts w:ascii="Arial" w:hAnsi="Arial" w:cs="Arial"/>
          <w:sz w:val="18"/>
          <w:szCs w:val="18"/>
        </w:rPr>
        <w:t>на</w:t>
      </w:r>
      <w:proofErr w:type="gramEnd"/>
      <w:r>
        <w:rPr>
          <w:rFonts w:ascii="Arial" w:hAnsi="Arial" w:cs="Arial"/>
          <w:sz w:val="18"/>
          <w:szCs w:val="18"/>
        </w:rPr>
        <w:t xml:space="preserve"> 31,8%.</w:t>
      </w:r>
    </w:p>
    <w:p w:rsidR="00C12B4C" w:rsidRDefault="00C12B4C" w:rsidP="00C12B4C">
      <w:pPr>
        <w:spacing w:before="6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Оплата труда</w:t>
      </w:r>
      <w:r>
        <w:rPr>
          <w:rFonts w:ascii="Arial" w:hAnsi="Arial" w:cs="Arial"/>
          <w:sz w:val="18"/>
          <w:szCs w:val="18"/>
        </w:rPr>
        <w:t>. Среднемесячная номинальная начисленная заработная плата работников организаций</w:t>
      </w:r>
      <w:proofErr w:type="gramStart"/>
      <w:r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за январь-ноябрь 2023 года составила 84146,3 рубля и увеличилась по сравнению с соответствующим периодом 2022 года на 14,5%. Среднемесячная заработная плата за ноябрь 2023 года сложилась в размере 73710,6 рубля и возросла по сравнению с ноябрем 2022 года на 8,2%, по сравнению с октябрем 2023 года уменьшилась на 1,6%.</w:t>
      </w:r>
    </w:p>
    <w:p w:rsidR="00C12B4C" w:rsidRDefault="00C12B4C" w:rsidP="00C12B4C">
      <w:pPr>
        <w:spacing w:before="60"/>
        <w:ind w:firstLine="567"/>
        <w:jc w:val="both"/>
        <w:rPr>
          <w:rFonts w:cs="Arial"/>
          <w:szCs w:val="18"/>
        </w:rPr>
      </w:pPr>
      <w:r>
        <w:rPr>
          <w:rStyle w:val="a9"/>
          <w:szCs w:val="18"/>
        </w:rPr>
        <w:t>Занятость населения.</w:t>
      </w:r>
      <w:r>
        <w:rPr>
          <w:rFonts w:ascii="Arial" w:hAnsi="Arial" w:cs="Arial"/>
          <w:sz w:val="18"/>
          <w:szCs w:val="18"/>
        </w:rPr>
        <w:t xml:space="preserve"> 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proofErr w:type="gramStart"/>
      <w:r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в январе-ноябре 2023 года составило 3488 человек,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что меньше, чем в январе-ноябре 2022 года на 65 человек. </w:t>
      </w:r>
      <w:r>
        <w:rPr>
          <w:rStyle w:val="a8"/>
          <w:color w:val="000000"/>
          <w:szCs w:val="18"/>
        </w:rPr>
        <w:t>В январе-ноябре 2023 года в</w:t>
      </w:r>
      <w:r>
        <w:rPr>
          <w:rFonts w:ascii="Arial" w:hAnsi="Arial" w:cs="Arial"/>
          <w:sz w:val="18"/>
          <w:szCs w:val="18"/>
        </w:rPr>
        <w:t xml:space="preserve"> общем количестве замещенных рабочих мест рабочие места внешних совместителей составили 1,2%, лиц, выполнявших работы по договорам гражданско-правового характера – 0,8%.</w:t>
      </w:r>
    </w:p>
    <w:p w:rsidR="00C12B4C" w:rsidRDefault="00C12B4C" w:rsidP="00C12B4C">
      <w:pPr>
        <w:pStyle w:val="a6"/>
        <w:spacing w:before="120" w:line="216" w:lineRule="auto"/>
        <w:ind w:left="142" w:hanging="142"/>
        <w:jc w:val="both"/>
        <w:rPr>
          <w:sz w:val="18"/>
          <w:szCs w:val="18"/>
        </w:rPr>
      </w:pPr>
      <w:r>
        <w:rPr>
          <w:rStyle w:val="a7"/>
          <w:szCs w:val="16"/>
        </w:rPr>
        <w:footnoteRef/>
      </w:r>
      <w:r>
        <w:rPr>
          <w:szCs w:val="16"/>
          <w:vertAlign w:val="superscript"/>
        </w:rPr>
        <w:t>)</w:t>
      </w:r>
      <w:r>
        <w:rPr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 </w:t>
      </w:r>
    </w:p>
    <w:p w:rsidR="000E4810" w:rsidRPr="00C12B4C" w:rsidRDefault="000E4810">
      <w:pPr>
        <w:rPr>
          <w:lang w:val="x-none"/>
        </w:rPr>
      </w:pPr>
      <w:bookmarkStart w:id="0" w:name="_GoBack"/>
      <w:bookmarkEnd w:id="0"/>
    </w:p>
    <w:sectPr w:rsidR="000E4810" w:rsidRPr="00C1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9E"/>
    <w:rsid w:val="000C4E9E"/>
    <w:rsid w:val="000E4810"/>
    <w:rsid w:val="00105FBD"/>
    <w:rsid w:val="001D246C"/>
    <w:rsid w:val="00212775"/>
    <w:rsid w:val="00335AFA"/>
    <w:rsid w:val="00387BF7"/>
    <w:rsid w:val="00804708"/>
    <w:rsid w:val="008832FD"/>
    <w:rsid w:val="00B874D8"/>
    <w:rsid w:val="00C12B4C"/>
    <w:rsid w:val="00C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(лев) Знак"/>
    <w:link w:val="a4"/>
    <w:locked/>
    <w:rsid w:val="00C12B4C"/>
    <w:rPr>
      <w:rFonts w:ascii="Arial" w:hAnsi="Arial" w:cs="Arial"/>
      <w:sz w:val="18"/>
    </w:rPr>
  </w:style>
  <w:style w:type="paragraph" w:customStyle="1" w:styleId="a4">
    <w:name w:val="Текст (лев)"/>
    <w:link w:val="a3"/>
    <w:rsid w:val="00C12B4C"/>
    <w:pPr>
      <w:spacing w:before="60" w:after="0" w:line="240" w:lineRule="auto"/>
      <w:ind w:firstLine="567"/>
      <w:jc w:val="both"/>
    </w:pPr>
    <w:rPr>
      <w:rFonts w:ascii="Arial" w:hAnsi="Arial" w:cs="Arial"/>
      <w:sz w:val="18"/>
    </w:rPr>
  </w:style>
  <w:style w:type="character" w:customStyle="1" w:styleId="a5">
    <w:name w:val="Сноска Знак"/>
    <w:link w:val="a6"/>
    <w:locked/>
    <w:rsid w:val="00C12B4C"/>
    <w:rPr>
      <w:rFonts w:ascii="Arial" w:hAnsi="Arial" w:cs="Arial"/>
      <w:sz w:val="16"/>
      <w:lang w:val="x-none" w:eastAsia="x-none"/>
    </w:rPr>
  </w:style>
  <w:style w:type="paragraph" w:customStyle="1" w:styleId="a6">
    <w:name w:val="Сноска"/>
    <w:basedOn w:val="a"/>
    <w:next w:val="a4"/>
    <w:link w:val="a5"/>
    <w:rsid w:val="00C12B4C"/>
    <w:pPr>
      <w:pBdr>
        <w:top w:val="single" w:sz="4" w:space="1" w:color="auto"/>
      </w:pBdr>
    </w:pPr>
    <w:rPr>
      <w:rFonts w:ascii="Arial" w:eastAsiaTheme="minorHAnsi" w:hAnsi="Arial" w:cs="Arial"/>
      <w:sz w:val="16"/>
      <w:szCs w:val="22"/>
      <w:lang w:val="x-none" w:eastAsia="x-none"/>
    </w:rPr>
  </w:style>
  <w:style w:type="character" w:styleId="a7">
    <w:name w:val="footnote reference"/>
    <w:semiHidden/>
    <w:unhideWhenUsed/>
    <w:rsid w:val="00C12B4C"/>
    <w:rPr>
      <w:vertAlign w:val="superscript"/>
    </w:rPr>
  </w:style>
  <w:style w:type="character" w:customStyle="1" w:styleId="a8">
    <w:name w:val="Текст в табл"/>
    <w:rsid w:val="00C12B4C"/>
    <w:rPr>
      <w:rFonts w:ascii="Arial" w:hAnsi="Arial" w:cs="Arial" w:hint="default"/>
      <w:noProof w:val="0"/>
      <w:sz w:val="16"/>
      <w:lang w:val="ru-RU"/>
    </w:rPr>
  </w:style>
  <w:style w:type="character" w:customStyle="1" w:styleId="a9">
    <w:name w:val="Выдел текст"/>
    <w:rsid w:val="00C12B4C"/>
    <w:rPr>
      <w:rFonts w:ascii="Arial" w:hAnsi="Arial" w:cs="Arial" w:hint="default"/>
      <w:b/>
      <w:bCs w:val="0"/>
      <w:i/>
      <w:iCs w:val="0"/>
      <w:noProof w:val="0"/>
      <w:sz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(лев) Знак"/>
    <w:link w:val="a4"/>
    <w:locked/>
    <w:rsid w:val="00C12B4C"/>
    <w:rPr>
      <w:rFonts w:ascii="Arial" w:hAnsi="Arial" w:cs="Arial"/>
      <w:sz w:val="18"/>
    </w:rPr>
  </w:style>
  <w:style w:type="paragraph" w:customStyle="1" w:styleId="a4">
    <w:name w:val="Текст (лев)"/>
    <w:link w:val="a3"/>
    <w:rsid w:val="00C12B4C"/>
    <w:pPr>
      <w:spacing w:before="60" w:after="0" w:line="240" w:lineRule="auto"/>
      <w:ind w:firstLine="567"/>
      <w:jc w:val="both"/>
    </w:pPr>
    <w:rPr>
      <w:rFonts w:ascii="Arial" w:hAnsi="Arial" w:cs="Arial"/>
      <w:sz w:val="18"/>
    </w:rPr>
  </w:style>
  <w:style w:type="character" w:customStyle="1" w:styleId="a5">
    <w:name w:val="Сноска Знак"/>
    <w:link w:val="a6"/>
    <w:locked/>
    <w:rsid w:val="00C12B4C"/>
    <w:rPr>
      <w:rFonts w:ascii="Arial" w:hAnsi="Arial" w:cs="Arial"/>
      <w:sz w:val="16"/>
      <w:lang w:val="x-none" w:eastAsia="x-none"/>
    </w:rPr>
  </w:style>
  <w:style w:type="paragraph" w:customStyle="1" w:styleId="a6">
    <w:name w:val="Сноска"/>
    <w:basedOn w:val="a"/>
    <w:next w:val="a4"/>
    <w:link w:val="a5"/>
    <w:rsid w:val="00C12B4C"/>
    <w:pPr>
      <w:pBdr>
        <w:top w:val="single" w:sz="4" w:space="1" w:color="auto"/>
      </w:pBdr>
    </w:pPr>
    <w:rPr>
      <w:rFonts w:ascii="Arial" w:eastAsiaTheme="minorHAnsi" w:hAnsi="Arial" w:cs="Arial"/>
      <w:sz w:val="16"/>
      <w:szCs w:val="22"/>
      <w:lang w:val="x-none" w:eastAsia="x-none"/>
    </w:rPr>
  </w:style>
  <w:style w:type="character" w:styleId="a7">
    <w:name w:val="footnote reference"/>
    <w:semiHidden/>
    <w:unhideWhenUsed/>
    <w:rsid w:val="00C12B4C"/>
    <w:rPr>
      <w:vertAlign w:val="superscript"/>
    </w:rPr>
  </w:style>
  <w:style w:type="character" w:customStyle="1" w:styleId="a8">
    <w:name w:val="Текст в табл"/>
    <w:rsid w:val="00C12B4C"/>
    <w:rPr>
      <w:rFonts w:ascii="Arial" w:hAnsi="Arial" w:cs="Arial" w:hint="default"/>
      <w:noProof w:val="0"/>
      <w:sz w:val="16"/>
      <w:lang w:val="ru-RU"/>
    </w:rPr>
  </w:style>
  <w:style w:type="character" w:customStyle="1" w:styleId="a9">
    <w:name w:val="Выдел текст"/>
    <w:rsid w:val="00C12B4C"/>
    <w:rPr>
      <w:rFonts w:ascii="Arial" w:hAnsi="Arial" w:cs="Arial" w:hint="default"/>
      <w:b/>
      <w:bCs w:val="0"/>
      <w:i/>
      <w:iCs w:val="0"/>
      <w:noProof w:val="0"/>
      <w:sz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Валентиновна Наумова</dc:creator>
  <cp:keywords/>
  <dc:description/>
  <cp:lastModifiedBy>Мария Валентиновна Наумова</cp:lastModifiedBy>
  <cp:revision>3</cp:revision>
  <dcterms:created xsi:type="dcterms:W3CDTF">2024-02-15T06:29:00Z</dcterms:created>
  <dcterms:modified xsi:type="dcterms:W3CDTF">2024-02-15T06:32:00Z</dcterms:modified>
</cp:coreProperties>
</file>